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54B" w:rsidRDefault="00911783" w:rsidP="00911783">
      <w:pPr>
        <w:jc w:val="center"/>
        <w:rPr>
          <w:rFonts w:ascii="Times New Roman" w:hAnsi="Times New Roman" w:cs="Times New Roman"/>
          <w:b/>
          <w:sz w:val="24"/>
          <w:szCs w:val="24"/>
        </w:rPr>
      </w:pPr>
      <w:r w:rsidRPr="00911783">
        <w:rPr>
          <w:rFonts w:ascii="Times New Roman" w:hAnsi="Times New Roman" w:cs="Times New Roman"/>
          <w:b/>
          <w:sz w:val="24"/>
          <w:szCs w:val="24"/>
        </w:rPr>
        <w:t>Informacija apie darbo užmokestį (neatskaičius mokesčių)</w:t>
      </w:r>
    </w:p>
    <w:p w:rsidR="00911783" w:rsidRPr="00911783" w:rsidRDefault="00911783" w:rsidP="00911783">
      <w:pPr>
        <w:jc w:val="center"/>
        <w:rPr>
          <w:rFonts w:ascii="Times New Roman" w:hAnsi="Times New Roman" w:cs="Times New Roman"/>
          <w:b/>
          <w:sz w:val="24"/>
          <w:szCs w:val="24"/>
        </w:rPr>
      </w:pPr>
    </w:p>
    <w:tbl>
      <w:tblPr>
        <w:tblStyle w:val="Lentelstinklelis"/>
        <w:tblW w:w="0" w:type="auto"/>
        <w:tblLook w:val="04A0" w:firstRow="1" w:lastRow="0" w:firstColumn="1" w:lastColumn="0" w:noHBand="0" w:noVBand="1"/>
      </w:tblPr>
      <w:tblGrid>
        <w:gridCol w:w="562"/>
        <w:gridCol w:w="3288"/>
        <w:gridCol w:w="1926"/>
        <w:gridCol w:w="1926"/>
        <w:gridCol w:w="1926"/>
      </w:tblGrid>
      <w:tr w:rsidR="00911783" w:rsidRPr="00911783" w:rsidTr="00911783">
        <w:tc>
          <w:tcPr>
            <w:tcW w:w="562" w:type="dxa"/>
          </w:tcPr>
          <w:p w:rsidR="00911783" w:rsidRPr="00911783" w:rsidRDefault="00911783">
            <w:pPr>
              <w:rPr>
                <w:rFonts w:ascii="Times New Roman" w:hAnsi="Times New Roman" w:cs="Times New Roman"/>
                <w:sz w:val="24"/>
                <w:szCs w:val="24"/>
              </w:rPr>
            </w:pPr>
            <w:r>
              <w:rPr>
                <w:rFonts w:ascii="Times New Roman" w:hAnsi="Times New Roman" w:cs="Times New Roman"/>
                <w:sz w:val="24"/>
                <w:szCs w:val="24"/>
              </w:rPr>
              <w:t>Eil. Nr.</w:t>
            </w:r>
          </w:p>
        </w:tc>
        <w:tc>
          <w:tcPr>
            <w:tcW w:w="3288" w:type="dxa"/>
          </w:tcPr>
          <w:p w:rsidR="00911783" w:rsidRPr="00911783" w:rsidRDefault="00911783">
            <w:pPr>
              <w:rPr>
                <w:rFonts w:ascii="Times New Roman" w:hAnsi="Times New Roman" w:cs="Times New Roman"/>
                <w:sz w:val="24"/>
                <w:szCs w:val="24"/>
              </w:rPr>
            </w:pPr>
            <w:r>
              <w:rPr>
                <w:rFonts w:ascii="Times New Roman" w:hAnsi="Times New Roman" w:cs="Times New Roman"/>
                <w:sz w:val="24"/>
                <w:szCs w:val="24"/>
              </w:rPr>
              <w:t>Pareigybės pavadinimas</w:t>
            </w:r>
          </w:p>
        </w:tc>
        <w:tc>
          <w:tcPr>
            <w:tcW w:w="1926" w:type="dxa"/>
          </w:tcPr>
          <w:p w:rsidR="00911783" w:rsidRPr="00911783" w:rsidRDefault="00911783">
            <w:pPr>
              <w:rPr>
                <w:rFonts w:ascii="Times New Roman" w:hAnsi="Times New Roman" w:cs="Times New Roman"/>
                <w:sz w:val="24"/>
                <w:szCs w:val="24"/>
              </w:rPr>
            </w:pPr>
            <w:r>
              <w:rPr>
                <w:rFonts w:ascii="Times New Roman" w:hAnsi="Times New Roman" w:cs="Times New Roman"/>
                <w:sz w:val="24"/>
                <w:szCs w:val="24"/>
              </w:rPr>
              <w:t>Darbuotojų skaičius 2024 m.</w:t>
            </w:r>
          </w:p>
        </w:tc>
        <w:tc>
          <w:tcPr>
            <w:tcW w:w="1926" w:type="dxa"/>
          </w:tcPr>
          <w:p w:rsidR="00911783" w:rsidRPr="00911783" w:rsidRDefault="00911783">
            <w:pPr>
              <w:rPr>
                <w:rFonts w:ascii="Times New Roman" w:hAnsi="Times New Roman" w:cs="Times New Roman"/>
                <w:sz w:val="24"/>
                <w:szCs w:val="24"/>
              </w:rPr>
            </w:pPr>
            <w:r>
              <w:rPr>
                <w:rFonts w:ascii="Times New Roman" w:hAnsi="Times New Roman" w:cs="Times New Roman"/>
                <w:sz w:val="24"/>
                <w:szCs w:val="24"/>
              </w:rPr>
              <w:t>2023 m. vidutinis mėnesinis darbo užmokestis, Eur</w:t>
            </w:r>
          </w:p>
        </w:tc>
        <w:tc>
          <w:tcPr>
            <w:tcW w:w="1926" w:type="dxa"/>
          </w:tcPr>
          <w:p w:rsidR="00911783" w:rsidRPr="00911783" w:rsidRDefault="00911783">
            <w:pPr>
              <w:rPr>
                <w:rFonts w:ascii="Times New Roman" w:hAnsi="Times New Roman" w:cs="Times New Roman"/>
                <w:sz w:val="24"/>
                <w:szCs w:val="24"/>
              </w:rPr>
            </w:pPr>
            <w:r>
              <w:rPr>
                <w:rFonts w:ascii="Times New Roman" w:hAnsi="Times New Roman" w:cs="Times New Roman"/>
                <w:sz w:val="24"/>
                <w:szCs w:val="24"/>
              </w:rPr>
              <w:t>2024 m. III ketvirčio vidutinis mėnesinis darbo užmokestis, Eur</w:t>
            </w:r>
          </w:p>
        </w:tc>
      </w:tr>
      <w:tr w:rsidR="00911783" w:rsidRPr="00911783" w:rsidTr="00911783">
        <w:tc>
          <w:tcPr>
            <w:tcW w:w="562" w:type="dxa"/>
          </w:tcPr>
          <w:p w:rsidR="00911783" w:rsidRPr="00911783" w:rsidRDefault="00911783" w:rsidP="00911783">
            <w:pPr>
              <w:pStyle w:val="Sraopastraipa"/>
              <w:numPr>
                <w:ilvl w:val="0"/>
                <w:numId w:val="1"/>
              </w:numPr>
              <w:ind w:left="310" w:hanging="142"/>
              <w:rPr>
                <w:rFonts w:ascii="Times New Roman" w:hAnsi="Times New Roman" w:cs="Times New Roman"/>
                <w:sz w:val="24"/>
                <w:szCs w:val="24"/>
              </w:rPr>
            </w:pPr>
          </w:p>
        </w:tc>
        <w:tc>
          <w:tcPr>
            <w:tcW w:w="3288" w:type="dxa"/>
          </w:tcPr>
          <w:p w:rsidR="00911783" w:rsidRPr="00911783" w:rsidRDefault="00911783">
            <w:pPr>
              <w:rPr>
                <w:rFonts w:ascii="Times New Roman" w:hAnsi="Times New Roman" w:cs="Times New Roman"/>
                <w:sz w:val="24"/>
                <w:szCs w:val="24"/>
              </w:rPr>
            </w:pPr>
            <w:r>
              <w:rPr>
                <w:rFonts w:ascii="Times New Roman" w:hAnsi="Times New Roman" w:cs="Times New Roman"/>
                <w:sz w:val="24"/>
                <w:szCs w:val="24"/>
              </w:rPr>
              <w:t>Ugniagesys</w:t>
            </w:r>
          </w:p>
        </w:tc>
        <w:tc>
          <w:tcPr>
            <w:tcW w:w="1926" w:type="dxa"/>
          </w:tcPr>
          <w:p w:rsidR="00911783" w:rsidRPr="00911783" w:rsidRDefault="00911783">
            <w:pPr>
              <w:rPr>
                <w:rFonts w:ascii="Times New Roman" w:hAnsi="Times New Roman" w:cs="Times New Roman"/>
                <w:sz w:val="24"/>
                <w:szCs w:val="24"/>
              </w:rPr>
            </w:pPr>
            <w:r>
              <w:rPr>
                <w:rFonts w:ascii="Times New Roman" w:hAnsi="Times New Roman" w:cs="Times New Roman"/>
                <w:sz w:val="24"/>
                <w:szCs w:val="24"/>
              </w:rPr>
              <w:t>56</w:t>
            </w:r>
          </w:p>
        </w:tc>
        <w:tc>
          <w:tcPr>
            <w:tcW w:w="1926" w:type="dxa"/>
          </w:tcPr>
          <w:p w:rsidR="00911783" w:rsidRPr="00911783" w:rsidRDefault="00911783">
            <w:pPr>
              <w:rPr>
                <w:rFonts w:ascii="Times New Roman" w:hAnsi="Times New Roman" w:cs="Times New Roman"/>
                <w:sz w:val="24"/>
                <w:szCs w:val="24"/>
              </w:rPr>
            </w:pPr>
            <w:r>
              <w:rPr>
                <w:rFonts w:ascii="Times New Roman" w:hAnsi="Times New Roman" w:cs="Times New Roman"/>
                <w:sz w:val="24"/>
                <w:szCs w:val="24"/>
              </w:rPr>
              <w:t>1077</w:t>
            </w:r>
          </w:p>
        </w:tc>
        <w:tc>
          <w:tcPr>
            <w:tcW w:w="1926" w:type="dxa"/>
          </w:tcPr>
          <w:p w:rsidR="00911783" w:rsidRPr="00911783" w:rsidRDefault="00911783">
            <w:pPr>
              <w:rPr>
                <w:rFonts w:ascii="Times New Roman" w:hAnsi="Times New Roman" w:cs="Times New Roman"/>
                <w:sz w:val="24"/>
                <w:szCs w:val="24"/>
              </w:rPr>
            </w:pPr>
            <w:r>
              <w:rPr>
                <w:rFonts w:ascii="Times New Roman" w:hAnsi="Times New Roman" w:cs="Times New Roman"/>
                <w:sz w:val="24"/>
                <w:szCs w:val="24"/>
              </w:rPr>
              <w:t>1263</w:t>
            </w:r>
          </w:p>
        </w:tc>
      </w:tr>
      <w:tr w:rsidR="00911783" w:rsidRPr="00911783" w:rsidTr="00911783">
        <w:tc>
          <w:tcPr>
            <w:tcW w:w="562" w:type="dxa"/>
          </w:tcPr>
          <w:p w:rsidR="00911783" w:rsidRPr="00911783" w:rsidRDefault="00911783" w:rsidP="00911783">
            <w:pPr>
              <w:pStyle w:val="Sraopastraipa"/>
              <w:numPr>
                <w:ilvl w:val="0"/>
                <w:numId w:val="1"/>
              </w:numPr>
              <w:ind w:left="310" w:hanging="142"/>
              <w:rPr>
                <w:rFonts w:ascii="Times New Roman" w:hAnsi="Times New Roman" w:cs="Times New Roman"/>
                <w:sz w:val="24"/>
                <w:szCs w:val="24"/>
              </w:rPr>
            </w:pPr>
          </w:p>
        </w:tc>
        <w:tc>
          <w:tcPr>
            <w:tcW w:w="3288" w:type="dxa"/>
          </w:tcPr>
          <w:p w:rsidR="00911783" w:rsidRPr="00911783" w:rsidRDefault="00911783">
            <w:pPr>
              <w:rPr>
                <w:rFonts w:ascii="Times New Roman" w:hAnsi="Times New Roman" w:cs="Times New Roman"/>
                <w:sz w:val="24"/>
                <w:szCs w:val="24"/>
              </w:rPr>
            </w:pPr>
            <w:r>
              <w:rPr>
                <w:rFonts w:ascii="Times New Roman" w:hAnsi="Times New Roman" w:cs="Times New Roman"/>
                <w:sz w:val="24"/>
                <w:szCs w:val="24"/>
              </w:rPr>
              <w:t>Ugniagesių komandos vadovas (skyrininkas)</w:t>
            </w:r>
          </w:p>
        </w:tc>
        <w:tc>
          <w:tcPr>
            <w:tcW w:w="1926" w:type="dxa"/>
          </w:tcPr>
          <w:p w:rsidR="00911783" w:rsidRPr="00911783" w:rsidRDefault="00911783">
            <w:pPr>
              <w:rPr>
                <w:rFonts w:ascii="Times New Roman" w:hAnsi="Times New Roman" w:cs="Times New Roman"/>
                <w:sz w:val="24"/>
                <w:szCs w:val="24"/>
              </w:rPr>
            </w:pPr>
            <w:r>
              <w:rPr>
                <w:rFonts w:ascii="Times New Roman" w:hAnsi="Times New Roman" w:cs="Times New Roman"/>
                <w:sz w:val="24"/>
                <w:szCs w:val="24"/>
              </w:rPr>
              <w:t>8</w:t>
            </w:r>
          </w:p>
        </w:tc>
        <w:tc>
          <w:tcPr>
            <w:tcW w:w="1926" w:type="dxa"/>
          </w:tcPr>
          <w:p w:rsidR="00911783" w:rsidRPr="00911783" w:rsidRDefault="00911783">
            <w:pPr>
              <w:rPr>
                <w:rFonts w:ascii="Times New Roman" w:hAnsi="Times New Roman" w:cs="Times New Roman"/>
                <w:sz w:val="24"/>
                <w:szCs w:val="24"/>
              </w:rPr>
            </w:pPr>
            <w:r>
              <w:rPr>
                <w:rFonts w:ascii="Times New Roman" w:hAnsi="Times New Roman" w:cs="Times New Roman"/>
                <w:sz w:val="24"/>
                <w:szCs w:val="24"/>
              </w:rPr>
              <w:t>1507</w:t>
            </w:r>
          </w:p>
        </w:tc>
        <w:tc>
          <w:tcPr>
            <w:tcW w:w="1926" w:type="dxa"/>
          </w:tcPr>
          <w:p w:rsidR="00911783" w:rsidRPr="00911783" w:rsidRDefault="00911783">
            <w:pPr>
              <w:rPr>
                <w:rFonts w:ascii="Times New Roman" w:hAnsi="Times New Roman" w:cs="Times New Roman"/>
                <w:sz w:val="24"/>
                <w:szCs w:val="24"/>
              </w:rPr>
            </w:pPr>
            <w:r>
              <w:rPr>
                <w:rFonts w:ascii="Times New Roman" w:hAnsi="Times New Roman" w:cs="Times New Roman"/>
                <w:sz w:val="24"/>
                <w:szCs w:val="24"/>
              </w:rPr>
              <w:t>1546</w:t>
            </w:r>
          </w:p>
        </w:tc>
      </w:tr>
    </w:tbl>
    <w:p w:rsidR="00911783" w:rsidRDefault="00911783">
      <w:pPr>
        <w:rPr>
          <w:rFonts w:ascii="Times New Roman" w:hAnsi="Times New Roman" w:cs="Times New Roman"/>
          <w:sz w:val="24"/>
          <w:szCs w:val="24"/>
        </w:rPr>
      </w:pPr>
    </w:p>
    <w:p w:rsidR="00911783" w:rsidRPr="00911783" w:rsidRDefault="00911783" w:rsidP="00911783">
      <w:pPr>
        <w:jc w:val="both"/>
        <w:rPr>
          <w:rFonts w:ascii="Times New Roman" w:hAnsi="Times New Roman" w:cs="Times New Roman"/>
          <w:szCs w:val="24"/>
        </w:rPr>
      </w:pPr>
      <w:r w:rsidRPr="00911783">
        <w:rPr>
          <w:rFonts w:ascii="Times New Roman" w:hAnsi="Times New Roman" w:cs="Times New Roman"/>
          <w:szCs w:val="24"/>
        </w:rPr>
        <w:t>Pastaba: informacija apie darbuotojų darbo užmokestį pateikiama vadovaujantis 2003 m. balandžio 18 d. LR Vyriausybės nutarimu Nr. 480 „Dėl bendrųjų reikalavimų valstybės ir savivaldybių institucijų ir įstaigų interneto svetainėms ir mobiliosioms programoms aprašo patvirtinimo“ 22.3. punktu.</w:t>
      </w:r>
      <w:bookmarkStart w:id="0" w:name="_GoBack"/>
      <w:bookmarkEnd w:id="0"/>
    </w:p>
    <w:sectPr w:rsidR="00911783" w:rsidRPr="0091178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70A09"/>
    <w:multiLevelType w:val="hybridMultilevel"/>
    <w:tmpl w:val="5FE43D1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783"/>
    <w:rsid w:val="00911783"/>
    <w:rsid w:val="00C305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BAF07"/>
  <w15:chartTrackingRefBased/>
  <w15:docId w15:val="{DD35A30B-EF26-4B2B-BFCF-B2B6F94B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911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11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387</Words>
  <Characters>221</Characters>
  <Application>Microsoft Office Word</Application>
  <DocSecurity>0</DocSecurity>
  <Lines>1</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cp:revision>
  <dcterms:created xsi:type="dcterms:W3CDTF">2024-11-11T10:51:00Z</dcterms:created>
  <dcterms:modified xsi:type="dcterms:W3CDTF">2024-11-11T11:02:00Z</dcterms:modified>
</cp:coreProperties>
</file>