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132CB02E" w:rsidR="00A20EF3" w:rsidRDefault="00151874" w:rsidP="00FE67F4">
      <w:pPr>
        <w:pStyle w:val="Pavadinimas"/>
        <w:rPr>
          <w:szCs w:val="28"/>
        </w:rPr>
      </w:pPr>
      <w:r>
        <w:rPr>
          <w:szCs w:val="28"/>
        </w:rPr>
        <w:t>4</w:t>
      </w:r>
      <w:r w:rsidR="00A20EF3" w:rsidRPr="008B4F36">
        <w:rPr>
          <w:szCs w:val="28"/>
        </w:rPr>
        <w:t xml:space="preserve"> POSĖDIS</w:t>
      </w:r>
    </w:p>
    <w:p w14:paraId="4E5AFAFF" w14:textId="09BADD5D" w:rsidR="0037743B" w:rsidRDefault="0037743B" w:rsidP="00FE67F4">
      <w:pPr>
        <w:pStyle w:val="Pavadinimas"/>
        <w:rPr>
          <w:szCs w:val="28"/>
        </w:rPr>
      </w:pPr>
    </w:p>
    <w:p w14:paraId="1D8EBA46" w14:textId="77777777" w:rsidR="00C017D4" w:rsidRDefault="00C017D4" w:rsidP="00C017D4">
      <w:pPr>
        <w:jc w:val="center"/>
        <w:rPr>
          <w:rFonts w:ascii="Times New Roman" w:hAnsi="Times New Roman"/>
          <w:b/>
          <w:bCs/>
          <w:sz w:val="24"/>
          <w:szCs w:val="24"/>
        </w:rPr>
      </w:pPr>
      <w:r>
        <w:rPr>
          <w:rFonts w:ascii="Times New Roman" w:hAnsi="Times New Roman"/>
          <w:b/>
          <w:bCs/>
          <w:sz w:val="24"/>
          <w:szCs w:val="24"/>
        </w:rPr>
        <w:t>SPRENDIMAS</w:t>
      </w:r>
    </w:p>
    <w:p w14:paraId="078CD8DD" w14:textId="77777777" w:rsidR="00C017D4" w:rsidRDefault="00C017D4" w:rsidP="00C017D4">
      <w:pPr>
        <w:jc w:val="center"/>
        <w:rPr>
          <w:rFonts w:ascii="Times New Roman" w:hAnsi="Times New Roman"/>
          <w:b/>
          <w:caps/>
          <w:sz w:val="24"/>
          <w:szCs w:val="24"/>
        </w:rPr>
      </w:pPr>
      <w:r>
        <w:rPr>
          <w:rFonts w:ascii="Times New Roman" w:hAnsi="Times New Roman"/>
          <w:b/>
          <w:caps/>
          <w:sz w:val="24"/>
          <w:szCs w:val="24"/>
        </w:rPr>
        <w:t>Dėl Kauno rajono savivaldybės Pavadinimų sumanymo ir atminimo įamžinimo komisijos nuostatų patvirtinimo</w:t>
      </w:r>
    </w:p>
    <w:p w14:paraId="41684A10" w14:textId="77777777" w:rsidR="00C017D4" w:rsidRDefault="00C017D4" w:rsidP="00C017D4">
      <w:pPr>
        <w:jc w:val="center"/>
        <w:rPr>
          <w:rFonts w:ascii="Times New Roman" w:hAnsi="Times New Roman"/>
          <w:b/>
          <w:sz w:val="24"/>
          <w:szCs w:val="24"/>
        </w:rPr>
      </w:pPr>
    </w:p>
    <w:p w14:paraId="58EE0EFE" w14:textId="05606D4B" w:rsidR="00C017D4" w:rsidRDefault="00C017D4" w:rsidP="00C017D4">
      <w:pPr>
        <w:pStyle w:val="Antrats"/>
        <w:tabs>
          <w:tab w:val="left" w:pos="1296"/>
        </w:tabs>
        <w:jc w:val="center"/>
        <w:rPr>
          <w:rFonts w:ascii="Times New Roman" w:hAnsi="Times New Roman"/>
          <w:sz w:val="24"/>
          <w:szCs w:val="24"/>
        </w:rPr>
      </w:pPr>
      <w:r>
        <w:rPr>
          <w:rFonts w:ascii="Times New Roman" w:hAnsi="Times New Roman"/>
          <w:sz w:val="24"/>
          <w:szCs w:val="24"/>
        </w:rPr>
        <w:t>2023 m. birželio 29 d. Nr. TS-</w:t>
      </w:r>
      <w:r w:rsidR="00EE041D">
        <w:rPr>
          <w:rFonts w:ascii="Times New Roman" w:hAnsi="Times New Roman"/>
          <w:sz w:val="24"/>
          <w:szCs w:val="24"/>
        </w:rPr>
        <w:t>310</w:t>
      </w:r>
    </w:p>
    <w:p w14:paraId="3FC2158B" w14:textId="77777777" w:rsidR="00C017D4" w:rsidRDefault="00C017D4" w:rsidP="00C017D4">
      <w:pPr>
        <w:pStyle w:val="Antrats"/>
        <w:tabs>
          <w:tab w:val="left" w:pos="1296"/>
        </w:tabs>
        <w:jc w:val="center"/>
        <w:rPr>
          <w:rFonts w:ascii="Times New Roman" w:hAnsi="Times New Roman"/>
          <w:sz w:val="24"/>
          <w:szCs w:val="24"/>
        </w:rPr>
      </w:pPr>
      <w:r>
        <w:rPr>
          <w:rFonts w:ascii="Times New Roman" w:hAnsi="Times New Roman"/>
          <w:sz w:val="24"/>
          <w:szCs w:val="24"/>
        </w:rPr>
        <w:t>Kaunas</w:t>
      </w:r>
    </w:p>
    <w:p w14:paraId="13C14539" w14:textId="77777777" w:rsidR="00C017D4" w:rsidRDefault="00C017D4" w:rsidP="00F338CF">
      <w:pPr>
        <w:pStyle w:val="Antrats"/>
        <w:tabs>
          <w:tab w:val="left" w:pos="1296"/>
        </w:tabs>
        <w:spacing w:line="360" w:lineRule="auto"/>
        <w:jc w:val="both"/>
        <w:rPr>
          <w:rFonts w:ascii="Times New Roman" w:hAnsi="Times New Roman"/>
          <w:sz w:val="24"/>
          <w:szCs w:val="24"/>
        </w:rPr>
      </w:pPr>
    </w:p>
    <w:p w14:paraId="7889595F" w14:textId="77777777" w:rsidR="00C017D4" w:rsidRDefault="00C017D4" w:rsidP="00F338CF">
      <w:pPr>
        <w:pStyle w:val="Antrats"/>
        <w:tabs>
          <w:tab w:val="left" w:pos="1296"/>
        </w:tabs>
        <w:spacing w:line="360" w:lineRule="auto"/>
        <w:jc w:val="both"/>
        <w:rPr>
          <w:rFonts w:ascii="Times New Roman" w:hAnsi="Times New Roman"/>
          <w:sz w:val="24"/>
          <w:szCs w:val="24"/>
        </w:rPr>
      </w:pPr>
    </w:p>
    <w:p w14:paraId="48367E28" w14:textId="77777777" w:rsidR="00C017D4" w:rsidRDefault="00C017D4" w:rsidP="00C017D4">
      <w:pPr>
        <w:pStyle w:val="pavadinimas0"/>
        <w:spacing w:before="0" w:beforeAutospacing="0" w:after="0" w:afterAutospacing="0" w:line="360" w:lineRule="auto"/>
        <w:ind w:firstLine="851"/>
        <w:jc w:val="both"/>
      </w:pPr>
      <w:r>
        <w:rPr>
          <w:color w:val="000000"/>
        </w:rPr>
        <w:t xml:space="preserve">Vadovaudamasi Lietuvos Respublikos vietos savivaldos įstatymo 15 straipsnio </w:t>
      </w:r>
      <w:r>
        <w:rPr>
          <w:color w:val="000000"/>
        </w:rPr>
        <w:br/>
        <w:t xml:space="preserve">2 dalies 4 punktu, 22 straipsnio 2 dalimi, Kauno rajono savivaldybės tarybos reglamento, patvirtinto Kauno rajono savivaldybės tarybos 2023 m. kovo 30 d. sprendimu Nr. TS-176 </w:t>
      </w:r>
      <w:r>
        <w:rPr>
          <w:color w:val="000000"/>
        </w:rPr>
        <w:br/>
        <w:t>,,Dėl Kauno rajono savivaldybės tarybos reglamento patvirtinimo“, 97 ir 99 punktais</w:t>
      </w:r>
      <w:r>
        <w:rPr>
          <w:spacing w:val="-2"/>
        </w:rPr>
        <w:t>, Kauno rajono savivaldybės taryba n u s p r e n d ž i</w:t>
      </w:r>
      <w:r>
        <w:t xml:space="preserve"> a:</w:t>
      </w:r>
    </w:p>
    <w:p w14:paraId="6D92AD0E" w14:textId="77777777" w:rsidR="00C017D4" w:rsidRDefault="00C017D4" w:rsidP="00C017D4">
      <w:pPr>
        <w:pStyle w:val="Sraopastraipa"/>
        <w:tabs>
          <w:tab w:val="left" w:pos="1134"/>
        </w:tabs>
        <w:ind w:left="0" w:firstLine="851"/>
        <w:jc w:val="both"/>
        <w:rPr>
          <w:szCs w:val="24"/>
        </w:rPr>
      </w:pPr>
      <w:r>
        <w:rPr>
          <w:szCs w:val="24"/>
        </w:rPr>
        <w:t>1. Patvirtinti Kauno rajono savivaldybės Pavadinimų sumanymo ir atminimo įamžinimo komisijos nuostatus (pridedama).</w:t>
      </w:r>
    </w:p>
    <w:p w14:paraId="2F05DAD6" w14:textId="77777777" w:rsidR="00C017D4" w:rsidRDefault="00C017D4" w:rsidP="00C017D4">
      <w:pPr>
        <w:pStyle w:val="Sraopastraipa"/>
        <w:tabs>
          <w:tab w:val="left" w:pos="1134"/>
        </w:tabs>
        <w:ind w:left="0" w:firstLine="851"/>
        <w:jc w:val="both"/>
        <w:rPr>
          <w:szCs w:val="24"/>
        </w:rPr>
      </w:pPr>
      <w:r>
        <w:rPr>
          <w:szCs w:val="24"/>
        </w:rPr>
        <w:t xml:space="preserve">2. Pripažinti netekusiu galios Kauno rajono savivaldybės tarybos </w:t>
      </w:r>
      <w:r>
        <w:rPr>
          <w:szCs w:val="24"/>
        </w:rPr>
        <w:br/>
        <w:t>2019 m. rugpjūčio 29 d. sprendimą Nr. TS-304 „Dėl Kauno rajono savivaldybės Pavadinimų sumanymo ir atminimo įamžinimo komisijos nuostatų patvirtinimo“.</w:t>
      </w:r>
    </w:p>
    <w:p w14:paraId="0EA91B30" w14:textId="77777777" w:rsidR="00C017D4" w:rsidRDefault="00C017D4" w:rsidP="00C017D4">
      <w:pPr>
        <w:tabs>
          <w:tab w:val="left" w:pos="851"/>
        </w:tabs>
        <w:spacing w:line="360" w:lineRule="auto"/>
        <w:ind w:firstLine="851"/>
        <w:jc w:val="both"/>
        <w:rPr>
          <w:rFonts w:ascii="Times New Roman" w:hAnsi="Times New Roman"/>
          <w:sz w:val="24"/>
          <w:szCs w:val="24"/>
        </w:rPr>
      </w:pPr>
    </w:p>
    <w:p w14:paraId="0884B2F1" w14:textId="77777777" w:rsidR="00C017D4" w:rsidRDefault="00C017D4" w:rsidP="00C017D4">
      <w:pPr>
        <w:pStyle w:val="Antrats"/>
        <w:tabs>
          <w:tab w:val="left" w:pos="1296"/>
        </w:tabs>
        <w:jc w:val="both"/>
        <w:rPr>
          <w:rFonts w:ascii="Times New Roman" w:hAnsi="Times New Roman"/>
          <w:sz w:val="24"/>
          <w:szCs w:val="24"/>
        </w:rPr>
      </w:pPr>
    </w:p>
    <w:p w14:paraId="65D18B5C" w14:textId="2135311F" w:rsidR="00C017D4" w:rsidRDefault="00C017D4" w:rsidP="00F338CF">
      <w:pPr>
        <w:pStyle w:val="Antrats"/>
        <w:tabs>
          <w:tab w:val="left" w:pos="1296"/>
          <w:tab w:val="left" w:pos="7230"/>
        </w:tabs>
        <w:ind w:right="-851"/>
        <w:jc w:val="both"/>
        <w:rPr>
          <w:rFonts w:ascii="Times New Roman" w:hAnsi="Times New Roman"/>
          <w:sz w:val="24"/>
          <w:szCs w:val="24"/>
        </w:rPr>
      </w:pPr>
      <w:r>
        <w:rPr>
          <w:rFonts w:ascii="Times New Roman" w:hAnsi="Times New Roman"/>
          <w:sz w:val="24"/>
          <w:szCs w:val="24"/>
        </w:rPr>
        <w:t>Savivaldybės meras</w:t>
      </w:r>
      <w:r w:rsidR="00EE041D">
        <w:rPr>
          <w:rFonts w:ascii="Times New Roman" w:hAnsi="Times New Roman"/>
          <w:sz w:val="24"/>
          <w:szCs w:val="24"/>
        </w:rPr>
        <w:tab/>
      </w:r>
      <w:r w:rsidR="00EE041D">
        <w:rPr>
          <w:rFonts w:ascii="Times New Roman" w:hAnsi="Times New Roman"/>
          <w:sz w:val="24"/>
          <w:szCs w:val="24"/>
        </w:rPr>
        <w:tab/>
        <w:t>Valerijus Makūnas</w:t>
      </w:r>
    </w:p>
    <w:p w14:paraId="32DC3106" w14:textId="77777777" w:rsidR="00C017D4" w:rsidRDefault="00C017D4" w:rsidP="00C017D4">
      <w:pPr>
        <w:pStyle w:val="Antrats"/>
        <w:tabs>
          <w:tab w:val="left" w:pos="1296"/>
        </w:tabs>
        <w:jc w:val="both"/>
        <w:rPr>
          <w:rFonts w:ascii="Times New Roman" w:hAnsi="Times New Roman"/>
          <w:sz w:val="24"/>
          <w:szCs w:val="24"/>
        </w:rPr>
      </w:pPr>
    </w:p>
    <w:p w14:paraId="44517C89" w14:textId="77777777" w:rsidR="00C017D4" w:rsidRDefault="00C017D4" w:rsidP="00C017D4">
      <w:pPr>
        <w:pStyle w:val="Antrats"/>
        <w:tabs>
          <w:tab w:val="left" w:pos="1296"/>
        </w:tabs>
        <w:jc w:val="both"/>
        <w:rPr>
          <w:rFonts w:ascii="Times New Roman" w:hAnsi="Times New Roman"/>
          <w:sz w:val="24"/>
          <w:szCs w:val="24"/>
        </w:rPr>
      </w:pPr>
    </w:p>
    <w:p w14:paraId="052366F2" w14:textId="77777777" w:rsidR="00C017D4" w:rsidRDefault="00C017D4" w:rsidP="00C017D4">
      <w:pPr>
        <w:pStyle w:val="Antrats"/>
        <w:tabs>
          <w:tab w:val="left" w:pos="1296"/>
        </w:tabs>
        <w:jc w:val="both"/>
        <w:rPr>
          <w:rFonts w:ascii="Times New Roman" w:hAnsi="Times New Roman"/>
          <w:sz w:val="24"/>
          <w:szCs w:val="24"/>
        </w:rPr>
      </w:pPr>
    </w:p>
    <w:p w14:paraId="3A30F6DB" w14:textId="77777777" w:rsidR="00C017D4" w:rsidRDefault="00C017D4" w:rsidP="00C017D4">
      <w:pPr>
        <w:pStyle w:val="Antrats"/>
        <w:tabs>
          <w:tab w:val="left" w:pos="1296"/>
        </w:tabs>
        <w:jc w:val="both"/>
        <w:rPr>
          <w:rFonts w:ascii="Times New Roman" w:hAnsi="Times New Roman"/>
          <w:sz w:val="24"/>
          <w:szCs w:val="24"/>
        </w:rPr>
      </w:pPr>
    </w:p>
    <w:p w14:paraId="037AF818" w14:textId="77777777" w:rsidR="00C017D4" w:rsidRDefault="00C017D4" w:rsidP="00C017D4">
      <w:pPr>
        <w:pStyle w:val="Antrats"/>
        <w:tabs>
          <w:tab w:val="left" w:pos="1296"/>
        </w:tabs>
        <w:jc w:val="both"/>
        <w:rPr>
          <w:rFonts w:ascii="Times New Roman" w:hAnsi="Times New Roman"/>
          <w:sz w:val="24"/>
          <w:szCs w:val="24"/>
        </w:rPr>
      </w:pPr>
    </w:p>
    <w:p w14:paraId="1F8C5D9A" w14:textId="77777777" w:rsidR="00C017D4" w:rsidRDefault="00C017D4" w:rsidP="00C017D4">
      <w:pPr>
        <w:pStyle w:val="Antrats"/>
        <w:tabs>
          <w:tab w:val="left" w:pos="1296"/>
        </w:tabs>
        <w:jc w:val="both"/>
        <w:rPr>
          <w:rFonts w:ascii="Times New Roman" w:hAnsi="Times New Roman"/>
          <w:sz w:val="24"/>
          <w:szCs w:val="24"/>
        </w:rPr>
      </w:pPr>
    </w:p>
    <w:p w14:paraId="66EFAF37" w14:textId="77777777" w:rsidR="00C017D4" w:rsidRDefault="00C017D4" w:rsidP="00C017D4">
      <w:pPr>
        <w:pStyle w:val="Antrats"/>
        <w:tabs>
          <w:tab w:val="left" w:pos="1296"/>
        </w:tabs>
        <w:jc w:val="both"/>
        <w:rPr>
          <w:rFonts w:ascii="Times New Roman" w:hAnsi="Times New Roman"/>
          <w:sz w:val="24"/>
          <w:szCs w:val="24"/>
        </w:rPr>
      </w:pPr>
    </w:p>
    <w:p w14:paraId="1421BBC2" w14:textId="77777777" w:rsidR="00C017D4" w:rsidRDefault="00C017D4" w:rsidP="00C017D4">
      <w:pPr>
        <w:pStyle w:val="Antrats"/>
        <w:tabs>
          <w:tab w:val="left" w:pos="1296"/>
        </w:tabs>
        <w:jc w:val="both"/>
        <w:rPr>
          <w:rFonts w:ascii="Times New Roman" w:hAnsi="Times New Roman"/>
          <w:sz w:val="24"/>
          <w:szCs w:val="24"/>
        </w:rPr>
      </w:pPr>
    </w:p>
    <w:p w14:paraId="6D2CAEBB" w14:textId="77777777" w:rsidR="00C017D4" w:rsidRDefault="00C017D4" w:rsidP="00C017D4">
      <w:pPr>
        <w:pStyle w:val="Antrats"/>
        <w:tabs>
          <w:tab w:val="left" w:pos="1296"/>
        </w:tabs>
        <w:jc w:val="both"/>
        <w:rPr>
          <w:rFonts w:ascii="Times New Roman" w:hAnsi="Times New Roman"/>
          <w:sz w:val="24"/>
          <w:szCs w:val="24"/>
        </w:rPr>
      </w:pPr>
    </w:p>
    <w:p w14:paraId="6638310B" w14:textId="77777777" w:rsidR="00C017D4" w:rsidRDefault="00C017D4" w:rsidP="00C017D4">
      <w:pPr>
        <w:pStyle w:val="Antrats"/>
        <w:tabs>
          <w:tab w:val="left" w:pos="1296"/>
        </w:tabs>
        <w:jc w:val="both"/>
        <w:rPr>
          <w:rFonts w:ascii="Times New Roman" w:hAnsi="Times New Roman"/>
          <w:sz w:val="24"/>
          <w:szCs w:val="24"/>
        </w:rPr>
      </w:pPr>
    </w:p>
    <w:p w14:paraId="14BE6F9B" w14:textId="77777777" w:rsidR="00C017D4" w:rsidRDefault="00C017D4" w:rsidP="00C017D4">
      <w:pPr>
        <w:pStyle w:val="Antrats"/>
        <w:tabs>
          <w:tab w:val="left" w:pos="1296"/>
        </w:tabs>
        <w:jc w:val="both"/>
        <w:rPr>
          <w:rFonts w:ascii="Times New Roman" w:hAnsi="Times New Roman"/>
          <w:sz w:val="24"/>
          <w:szCs w:val="24"/>
        </w:rPr>
      </w:pPr>
    </w:p>
    <w:p w14:paraId="68CC4368" w14:textId="77777777" w:rsidR="00C017D4" w:rsidRDefault="00C017D4" w:rsidP="00C017D4">
      <w:pPr>
        <w:pStyle w:val="Antrats"/>
        <w:tabs>
          <w:tab w:val="left" w:pos="1296"/>
        </w:tabs>
        <w:jc w:val="both"/>
        <w:rPr>
          <w:rFonts w:ascii="Times New Roman" w:hAnsi="Times New Roman"/>
          <w:sz w:val="24"/>
          <w:szCs w:val="24"/>
        </w:rPr>
      </w:pPr>
    </w:p>
    <w:p w14:paraId="7F42CC29" w14:textId="77777777" w:rsidR="00C017D4" w:rsidRDefault="00C017D4" w:rsidP="00C017D4">
      <w:pPr>
        <w:pStyle w:val="Antrats"/>
        <w:tabs>
          <w:tab w:val="left" w:pos="1296"/>
        </w:tabs>
        <w:jc w:val="both"/>
        <w:rPr>
          <w:rFonts w:ascii="Times New Roman" w:hAnsi="Times New Roman"/>
          <w:sz w:val="24"/>
          <w:szCs w:val="24"/>
        </w:rPr>
      </w:pPr>
    </w:p>
    <w:p w14:paraId="409F49DD" w14:textId="77777777" w:rsidR="00C017D4" w:rsidRDefault="00C017D4" w:rsidP="00C017D4">
      <w:pPr>
        <w:pStyle w:val="Antrats"/>
        <w:tabs>
          <w:tab w:val="left" w:pos="1296"/>
        </w:tabs>
        <w:jc w:val="both"/>
        <w:rPr>
          <w:rFonts w:ascii="Times New Roman" w:hAnsi="Times New Roman"/>
          <w:sz w:val="24"/>
          <w:szCs w:val="24"/>
        </w:rPr>
      </w:pPr>
    </w:p>
    <w:p w14:paraId="39E17EA0" w14:textId="77777777" w:rsidR="00C017D4" w:rsidRDefault="00C017D4" w:rsidP="00C017D4">
      <w:pPr>
        <w:pStyle w:val="Antrats"/>
        <w:tabs>
          <w:tab w:val="left" w:pos="1296"/>
        </w:tabs>
        <w:jc w:val="both"/>
        <w:rPr>
          <w:rFonts w:ascii="Times New Roman" w:hAnsi="Times New Roman"/>
          <w:sz w:val="24"/>
          <w:szCs w:val="24"/>
        </w:rPr>
      </w:pPr>
    </w:p>
    <w:p w14:paraId="1AC383B7" w14:textId="77777777" w:rsidR="00C017D4" w:rsidRDefault="00C017D4" w:rsidP="00C017D4">
      <w:pPr>
        <w:pStyle w:val="Antrats"/>
        <w:tabs>
          <w:tab w:val="left" w:pos="1296"/>
        </w:tabs>
        <w:jc w:val="both"/>
        <w:rPr>
          <w:rFonts w:ascii="Times New Roman" w:hAnsi="Times New Roman"/>
          <w:sz w:val="24"/>
          <w:szCs w:val="24"/>
        </w:rPr>
      </w:pPr>
    </w:p>
    <w:p w14:paraId="6284B197" w14:textId="77777777" w:rsidR="006A288E" w:rsidRDefault="006A288E" w:rsidP="00C017D4">
      <w:pPr>
        <w:autoSpaceDE w:val="0"/>
        <w:spacing w:line="240" w:lineRule="atLeast"/>
        <w:ind w:firstLine="4536"/>
        <w:rPr>
          <w:rFonts w:ascii="Times New Roman" w:hAnsi="Times New Roman"/>
          <w:sz w:val="24"/>
          <w:szCs w:val="24"/>
        </w:rPr>
      </w:pPr>
    </w:p>
    <w:p w14:paraId="58C3C610" w14:textId="1B6A928B" w:rsidR="00C017D4" w:rsidRDefault="00C017D4" w:rsidP="00C017D4">
      <w:pPr>
        <w:autoSpaceDE w:val="0"/>
        <w:spacing w:line="240" w:lineRule="atLeast"/>
        <w:ind w:firstLine="4536"/>
        <w:rPr>
          <w:rFonts w:ascii="Times New Roman" w:hAnsi="Times New Roman"/>
          <w:sz w:val="24"/>
          <w:szCs w:val="24"/>
        </w:rPr>
      </w:pPr>
      <w:r>
        <w:rPr>
          <w:rFonts w:ascii="Times New Roman" w:hAnsi="Times New Roman"/>
          <w:sz w:val="24"/>
          <w:szCs w:val="24"/>
        </w:rPr>
        <w:t>PATVIRTINTA</w:t>
      </w:r>
    </w:p>
    <w:p w14:paraId="69922F4C" w14:textId="77777777" w:rsidR="00C017D4" w:rsidRDefault="00C017D4" w:rsidP="00C017D4">
      <w:pPr>
        <w:autoSpaceDE w:val="0"/>
        <w:spacing w:line="240" w:lineRule="atLeast"/>
        <w:ind w:firstLine="4536"/>
        <w:rPr>
          <w:rFonts w:ascii="Times New Roman" w:hAnsi="Times New Roman"/>
          <w:sz w:val="24"/>
          <w:szCs w:val="24"/>
        </w:rPr>
      </w:pPr>
      <w:r>
        <w:rPr>
          <w:rFonts w:ascii="Times New Roman" w:hAnsi="Times New Roman"/>
          <w:sz w:val="24"/>
          <w:szCs w:val="24"/>
        </w:rPr>
        <w:t>Kauno rajono savivaldybės tarybos</w:t>
      </w:r>
    </w:p>
    <w:p w14:paraId="282D6E7F" w14:textId="403FDBDF" w:rsidR="00C017D4" w:rsidRDefault="00C017D4" w:rsidP="00C017D4">
      <w:pPr>
        <w:autoSpaceDE w:val="0"/>
        <w:spacing w:line="240" w:lineRule="atLeast"/>
        <w:ind w:firstLine="4536"/>
        <w:rPr>
          <w:rFonts w:ascii="Times New Roman" w:hAnsi="Times New Roman"/>
          <w:sz w:val="24"/>
          <w:szCs w:val="24"/>
        </w:rPr>
      </w:pPr>
      <w:r>
        <w:rPr>
          <w:rFonts w:ascii="Times New Roman" w:hAnsi="Times New Roman"/>
          <w:sz w:val="24"/>
          <w:szCs w:val="24"/>
        </w:rPr>
        <w:t>2023 m. birželio 29 d. sprendimu Nr. TS-</w:t>
      </w:r>
      <w:r w:rsidR="00EE041D">
        <w:rPr>
          <w:rFonts w:ascii="Times New Roman" w:hAnsi="Times New Roman"/>
          <w:sz w:val="24"/>
          <w:szCs w:val="24"/>
        </w:rPr>
        <w:t>310</w:t>
      </w:r>
    </w:p>
    <w:p w14:paraId="71F4C996" w14:textId="77777777" w:rsidR="00C017D4" w:rsidRDefault="00C017D4" w:rsidP="00C017D4">
      <w:pPr>
        <w:autoSpaceDE w:val="0"/>
        <w:spacing w:line="240" w:lineRule="atLeast"/>
        <w:jc w:val="center"/>
        <w:rPr>
          <w:rFonts w:ascii="Times New Roman" w:hAnsi="Times New Roman"/>
          <w:sz w:val="24"/>
          <w:szCs w:val="24"/>
        </w:rPr>
      </w:pPr>
    </w:p>
    <w:p w14:paraId="56E67C52" w14:textId="77777777" w:rsidR="00C017D4" w:rsidRDefault="00C017D4" w:rsidP="00C017D4">
      <w:pPr>
        <w:autoSpaceDE w:val="0"/>
        <w:spacing w:line="240" w:lineRule="atLeast"/>
        <w:jc w:val="center"/>
        <w:rPr>
          <w:rFonts w:ascii="Times New Roman" w:hAnsi="Times New Roman"/>
          <w:sz w:val="24"/>
          <w:szCs w:val="24"/>
        </w:rPr>
      </w:pPr>
    </w:p>
    <w:p w14:paraId="633C474E"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KAUNO RAJONO SAVIVALDYBĖS PAVADINIMŲ SUMANYMO IR ATMINIMO ĮAMŽINIMO KOMISIJOS NUOSTATAI</w:t>
      </w:r>
    </w:p>
    <w:p w14:paraId="1A885C4C" w14:textId="77777777" w:rsidR="00C017D4" w:rsidRDefault="00C017D4" w:rsidP="00C017D4">
      <w:pPr>
        <w:autoSpaceDE w:val="0"/>
        <w:spacing w:line="360" w:lineRule="auto"/>
        <w:jc w:val="center"/>
        <w:rPr>
          <w:rFonts w:ascii="Times New Roman" w:eastAsia="TimesNewRomanPS-BoldMT" w:hAnsi="Times New Roman"/>
          <w:b/>
          <w:bCs/>
          <w:sz w:val="24"/>
          <w:szCs w:val="24"/>
        </w:rPr>
      </w:pPr>
    </w:p>
    <w:p w14:paraId="7C4984BB"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I SKYRIUS</w:t>
      </w:r>
    </w:p>
    <w:p w14:paraId="2B75F1D2"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BENDROSIOS NUOSTATOS</w:t>
      </w:r>
    </w:p>
    <w:p w14:paraId="66CAD0BD" w14:textId="77777777" w:rsidR="00C017D4" w:rsidRDefault="00C017D4" w:rsidP="00C017D4">
      <w:pPr>
        <w:autoSpaceDE w:val="0"/>
        <w:spacing w:line="360" w:lineRule="auto"/>
        <w:jc w:val="center"/>
        <w:rPr>
          <w:rFonts w:ascii="Times New Roman" w:eastAsia="TimesNewRomanPS-BoldMT" w:hAnsi="Times New Roman"/>
          <w:b/>
          <w:bCs/>
          <w:sz w:val="24"/>
          <w:szCs w:val="24"/>
        </w:rPr>
      </w:pPr>
    </w:p>
    <w:p w14:paraId="0DB6DF7E"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 Kauno rajono savivaldybės (toliau – Savivaldybė) pavadinimų sumanymo ir atminimo įamžinimo komisijos (toliau – Komisija) nuostatai reglamentuoja Komisijos sudarymą, tikslą, uždavinius, funkcijas, teises ir darbo organizavimo tvarką.</w:t>
      </w:r>
    </w:p>
    <w:p w14:paraId="3BA8AFC7"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2. Komisija savo veikloje vadovaujasi Lietuvos Respublikos įstatymais, Lietuvos Respublikos Vyriausybės nutarimais, Valstybinės lietuvių kalbos komisijos nutarimais, Savivaldybės tarybos sprendimais, Savivaldybės tarybos reglamentu (toliau – Reglamentas) ir kitais teisės aktais.</w:t>
      </w:r>
    </w:p>
    <w:p w14:paraId="516C3850"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3. Komisija savo sprendimus priima laikydamasi nešališkumo, objektyvumo, lygiateisiškumo ir nediskriminavimo principų.</w:t>
      </w:r>
    </w:p>
    <w:p w14:paraId="3FB938CB"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4. Komisija yra atskaitinga Savivaldybės tarybai.</w:t>
      </w:r>
    </w:p>
    <w:p w14:paraId="3FC49485" w14:textId="77777777" w:rsidR="00C017D4" w:rsidRDefault="00C017D4" w:rsidP="00C017D4">
      <w:pPr>
        <w:autoSpaceDE w:val="0"/>
        <w:spacing w:line="360" w:lineRule="auto"/>
        <w:jc w:val="center"/>
        <w:rPr>
          <w:rFonts w:ascii="Times New Roman" w:eastAsia="TimesNewRomanPS-BoldMT" w:hAnsi="Times New Roman"/>
          <w:b/>
          <w:bCs/>
          <w:sz w:val="24"/>
          <w:szCs w:val="24"/>
        </w:rPr>
      </w:pPr>
    </w:p>
    <w:p w14:paraId="738284CF"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II SKYRIUS</w:t>
      </w:r>
    </w:p>
    <w:p w14:paraId="712DF8E0"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KOMISIJOS UŽDAVINIAI IR FUNKCIJOS</w:t>
      </w:r>
    </w:p>
    <w:p w14:paraId="0BB19700" w14:textId="77777777" w:rsidR="00C017D4" w:rsidRDefault="00C017D4" w:rsidP="00C017D4">
      <w:pPr>
        <w:autoSpaceDE w:val="0"/>
        <w:spacing w:line="360" w:lineRule="auto"/>
        <w:jc w:val="center"/>
        <w:rPr>
          <w:rFonts w:ascii="Times New Roman" w:eastAsia="TimesNewRomanPS-BoldMT" w:hAnsi="Times New Roman"/>
          <w:b/>
          <w:bCs/>
          <w:sz w:val="24"/>
          <w:szCs w:val="24"/>
        </w:rPr>
      </w:pPr>
    </w:p>
    <w:p w14:paraId="36FA8496"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 Komisija yra patariančioji institucija Savivaldybės tarybai ir Savivaldybės administracijai. Komisija sprendžia juridinių asmenų, kuriuos steigia arba kuriuos steigiant dalyvauja Savivaldybė, pavadinimų gatvėms, pastatams, statiniams ir kitiems Savivaldybės teritorijoje esantiems ir jai nuosavybės teise priklausantiems objektams suteikimo ir keitimo klausimus, taip pat svarbių istorinių įvykių ir objektų bei krašto istorijai ir kultūrai nusipelniusių asmenų atminimo įamžinimo klausimus.</w:t>
      </w:r>
    </w:p>
    <w:p w14:paraId="43BD4110"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6. Komisija nagrinėja Savivaldybės administracijos padalinių, įmonių, įstaigų, organizacijų, fizinių asmenų prašymus ir teikia išvadas bei pasiūlymus dėl: </w:t>
      </w:r>
    </w:p>
    <w:p w14:paraId="4E75E318"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6.1. juridinių asmenų, kuriuos steigia arba kuriuos steigiant dalyvauja Kauno rajono savivaldybė, pavadinimų;</w:t>
      </w:r>
    </w:p>
    <w:p w14:paraId="1B95F938"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6.2. pavadinimų gatvėms, pastatams, statiniams ir kitiems Kauno rajono savivaldybės teritorijoje esantiems ir jai nuosavybės teise priklausantiems objektams suteikimo, keitimo ir panaikinimo;</w:t>
      </w:r>
    </w:p>
    <w:p w14:paraId="6386A997"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6.3. įžymių asmenų, svarbių istorinių įvykių ir objektų įamžinimo tikslingumo bei įamžinimo būdo;</w:t>
      </w:r>
    </w:p>
    <w:p w14:paraId="4024F44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6.4. atminimo ženklų (memorialinių, informacinių lentų, paminklinių akmenų, skulptūrų) tekstų.</w:t>
      </w:r>
    </w:p>
    <w:p w14:paraId="64BCFDC5" w14:textId="77777777" w:rsidR="00C017D4" w:rsidRDefault="00C017D4" w:rsidP="00C017D4">
      <w:pPr>
        <w:spacing w:line="360" w:lineRule="auto"/>
        <w:ind w:firstLine="709"/>
        <w:jc w:val="both"/>
        <w:rPr>
          <w:rFonts w:ascii="Times New Roman" w:hAnsi="Times New Roman"/>
          <w:sz w:val="24"/>
          <w:szCs w:val="24"/>
        </w:rPr>
      </w:pPr>
      <w:r>
        <w:rPr>
          <w:rFonts w:ascii="Times New Roman" w:hAnsi="Times New Roman"/>
          <w:sz w:val="24"/>
          <w:szCs w:val="24"/>
        </w:rPr>
        <w:t>7. Prašymai dėl žymių žmonių, istorinių datų ar įvykių įamžinimo bei gatvių pavadinimų suteikimo ar keitimo adresuojami Kauno rajono savivaldybės (toliau – Savivaldybė) merui.</w:t>
      </w:r>
    </w:p>
    <w:p w14:paraId="41605990" w14:textId="77777777" w:rsidR="00C017D4" w:rsidRDefault="00C017D4" w:rsidP="00C017D4">
      <w:pPr>
        <w:spacing w:line="360" w:lineRule="auto"/>
        <w:ind w:firstLine="709"/>
        <w:jc w:val="both"/>
        <w:rPr>
          <w:rFonts w:ascii="Times New Roman" w:hAnsi="Times New Roman"/>
          <w:sz w:val="24"/>
          <w:szCs w:val="24"/>
        </w:rPr>
      </w:pPr>
      <w:r>
        <w:rPr>
          <w:rFonts w:ascii="Times New Roman" w:hAnsi="Times New Roman"/>
          <w:sz w:val="24"/>
          <w:szCs w:val="24"/>
        </w:rPr>
        <w:t xml:space="preserve">8. Prašyme dėl žymių žmonių, istorinių datų, įvykių įamžinimo nurodoma: išsami informacija apie asmenį, istorinę datą ar įvykį, įamžinimo motyvas, finansavimo šaltiniai, iniciatorių kontaktai. Gali būti pateikta: įamžinimo būdas, įrašo tekstas, vaizdinė medžiaga         ir kita informacija. </w:t>
      </w:r>
    </w:p>
    <w:p w14:paraId="2858D1D7" w14:textId="77777777" w:rsidR="00C017D4" w:rsidRDefault="00C017D4" w:rsidP="00C017D4">
      <w:pPr>
        <w:spacing w:line="360" w:lineRule="auto"/>
        <w:ind w:firstLine="709"/>
        <w:jc w:val="both"/>
        <w:rPr>
          <w:rFonts w:ascii="Times New Roman" w:hAnsi="Times New Roman"/>
          <w:sz w:val="24"/>
          <w:szCs w:val="24"/>
        </w:rPr>
      </w:pPr>
      <w:r>
        <w:rPr>
          <w:rFonts w:ascii="Times New Roman" w:hAnsi="Times New Roman"/>
          <w:sz w:val="24"/>
          <w:szCs w:val="24"/>
        </w:rPr>
        <w:t xml:space="preserve">9. Prašyme dėl gatvių pavadinimų suteikimo ar keitimo nurodoma: išsami informacija apie pavadinimo suteikimo ar keitimo motyvus, iniciatorių kontaktai. </w:t>
      </w:r>
    </w:p>
    <w:p w14:paraId="7276E77D" w14:textId="77777777" w:rsidR="00C017D4" w:rsidRDefault="00C017D4" w:rsidP="00C017D4">
      <w:pPr>
        <w:spacing w:line="360" w:lineRule="auto"/>
        <w:ind w:firstLine="709"/>
        <w:jc w:val="both"/>
        <w:rPr>
          <w:rFonts w:ascii="Times New Roman" w:hAnsi="Times New Roman"/>
          <w:sz w:val="24"/>
          <w:szCs w:val="24"/>
        </w:rPr>
      </w:pPr>
      <w:r>
        <w:rPr>
          <w:rFonts w:ascii="Times New Roman" w:hAnsi="Times New Roman"/>
          <w:sz w:val="24"/>
          <w:szCs w:val="24"/>
        </w:rPr>
        <w:t>10. Prašymus dėl žymių žmonių, istorinių datų, įvykių įamžinimo nagrinėja ir išvadas teikia Komisija.</w:t>
      </w:r>
    </w:p>
    <w:p w14:paraId="569BA410" w14:textId="77777777" w:rsidR="00C017D4" w:rsidRDefault="00C017D4" w:rsidP="00C017D4">
      <w:pPr>
        <w:spacing w:line="360" w:lineRule="auto"/>
        <w:ind w:firstLine="709"/>
        <w:jc w:val="both"/>
        <w:rPr>
          <w:rFonts w:ascii="Times New Roman" w:hAnsi="Times New Roman"/>
          <w:sz w:val="24"/>
          <w:szCs w:val="24"/>
        </w:rPr>
      </w:pPr>
      <w:r>
        <w:rPr>
          <w:rFonts w:ascii="Times New Roman" w:hAnsi="Times New Roman"/>
          <w:sz w:val="24"/>
          <w:szCs w:val="24"/>
        </w:rPr>
        <w:t>11. Gautas prašymas apsvarstomas Komisijoje per 20 d. dienų nuo jo gavimo Savivaldybės administracijoje dienos.</w:t>
      </w:r>
    </w:p>
    <w:p w14:paraId="2BF1EB2E" w14:textId="77777777" w:rsidR="00C017D4" w:rsidRDefault="00C017D4" w:rsidP="00C017D4">
      <w:pPr>
        <w:autoSpaceDE w:val="0"/>
        <w:spacing w:line="360" w:lineRule="auto"/>
        <w:jc w:val="both"/>
        <w:rPr>
          <w:rFonts w:ascii="Times New Roman" w:eastAsia="TimesNewRomanPSMT" w:hAnsi="Times New Roman"/>
          <w:sz w:val="24"/>
          <w:szCs w:val="24"/>
        </w:rPr>
      </w:pPr>
    </w:p>
    <w:p w14:paraId="7AD816BA"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III SKYRIUS</w:t>
      </w:r>
    </w:p>
    <w:p w14:paraId="4EECE7AA"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KOMISIJOS SUDARYMAS IR VEIKLOS ORGANIZAVIMAS</w:t>
      </w:r>
    </w:p>
    <w:p w14:paraId="7180359A" w14:textId="77777777" w:rsidR="00C017D4" w:rsidRDefault="00C017D4" w:rsidP="00C017D4">
      <w:pPr>
        <w:autoSpaceDE w:val="0"/>
        <w:spacing w:line="360" w:lineRule="auto"/>
        <w:rPr>
          <w:rFonts w:ascii="Times New Roman" w:eastAsia="TimesNewRomanPS-BoldMT" w:hAnsi="Times New Roman"/>
          <w:b/>
          <w:bCs/>
          <w:sz w:val="24"/>
          <w:szCs w:val="24"/>
        </w:rPr>
      </w:pPr>
    </w:p>
    <w:p w14:paraId="5E9554C5"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 Komisiją sudaro Savivaldybės taryba ne mažiau kaip iš 5 narių Savivaldybės tarybos kadencijos laikotarpiui Reglamento nustatyta tvarka.</w:t>
      </w:r>
    </w:p>
    <w:p w14:paraId="21E20546" w14:textId="77777777" w:rsidR="00C017D4" w:rsidRDefault="00C017D4" w:rsidP="00C017D4">
      <w:pPr>
        <w:autoSpaceDE w:val="0"/>
        <w:spacing w:line="360" w:lineRule="auto"/>
        <w:ind w:firstLine="709"/>
        <w:jc w:val="both"/>
        <w:rPr>
          <w:rFonts w:ascii="Times New Roman" w:hAnsi="Times New Roman"/>
          <w:sz w:val="24"/>
          <w:szCs w:val="24"/>
        </w:rPr>
      </w:pPr>
      <w:r>
        <w:rPr>
          <w:rFonts w:ascii="Times New Roman" w:eastAsia="TimesNewRomanPSMT" w:hAnsi="Times New Roman"/>
          <w:sz w:val="24"/>
          <w:szCs w:val="24"/>
        </w:rPr>
        <w:t xml:space="preserve">13. </w:t>
      </w:r>
      <w:r>
        <w:rPr>
          <w:rFonts w:ascii="Times New Roman" w:hAnsi="Times New Roman"/>
          <w:sz w:val="24"/>
          <w:szCs w:val="24"/>
        </w:rPr>
        <w:t>Komisijos nariais gali būti Savivaldybės tarybos nariai, valstybės tarnautojai, darbuotojai, dirbantys pagal darbo sutartis, 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w:t>
      </w:r>
    </w:p>
    <w:p w14:paraId="76F123FF"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hAnsi="Times New Roman"/>
          <w:sz w:val="24"/>
          <w:szCs w:val="24"/>
        </w:rPr>
        <w:t>14. Komisijos pirmininku gali būti skiriamas tik nepriekaištingos reputacijos, kaip ji yra apibrėžta Įstatyme, Savivaldybės tarybos narys.</w:t>
      </w:r>
    </w:p>
    <w:p w14:paraId="1BFED81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15. Komisijos pirmininkas skiriamas Savivaldybės tarybos daugumos siūlymu Savivaldybės tarybos sprendimu. </w:t>
      </w:r>
    </w:p>
    <w:p w14:paraId="1AB5885C"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 Komisijos pirmininkas:</w:t>
      </w:r>
    </w:p>
    <w:p w14:paraId="413CF143"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16.1. vadovauja Komisijos darbui, sudaro posėdžio darbotvarkę ir ne vėliau kaip prieš 2 dienas iki posėdžio supažindina su ja Komisijos narius;</w:t>
      </w:r>
    </w:p>
    <w:p w14:paraId="5A0067E3"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16.2. šaukia Komisijos posėdžius ir jiems pirmininkauja;</w:t>
      </w:r>
    </w:p>
    <w:p w14:paraId="5C9E536B"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16.3. kviečia dalyvauti Komisijos posėdžiuose suinteresuotus asmenis;</w:t>
      </w:r>
    </w:p>
    <w:p w14:paraId="40F3158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16.4. vykdo kitas šiais nuostatais ir kitais teisės aktais nustatytas pareigas.</w:t>
      </w:r>
    </w:p>
    <w:p w14:paraId="488E885B"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17. Jeigu Komisijos pirmininkas dėl svarbių priežasčių negali dalyvauti posėdyje, Komisijos pirmininko pavaduotojas pirmininkauja posėdžiui ir atlieka šiuose nuostatuose Komisijos pirmininkui priskirtas funkcijas.</w:t>
      </w:r>
    </w:p>
    <w:p w14:paraId="1F11E580"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18. Komisija sprendimus priima posėdžiuose. Komisijos posėdis yra teisėtas, jei jame dalyvauja ne mažiau kaip pusė Komisijos narių. Komisijos sprendimai priimami posėdyje dalyvaujančių Komisijos narių balsų dauguma. Jeigu balsai pasiskirsto po lygiai, lemia Komisijos pirmininko balsas. Komisijos sprendimai yra patariamojo pobūdžio.</w:t>
      </w:r>
    </w:p>
    <w:p w14:paraId="0C9E1C32" w14:textId="77777777" w:rsidR="00C017D4" w:rsidRDefault="00C017D4" w:rsidP="00C017D4">
      <w:pPr>
        <w:autoSpaceDE w:val="0"/>
        <w:spacing w:line="360" w:lineRule="auto"/>
        <w:ind w:firstLine="709"/>
        <w:jc w:val="both"/>
        <w:rPr>
          <w:rFonts w:ascii="Times New Roman" w:hAnsi="Times New Roman"/>
          <w:sz w:val="24"/>
          <w:szCs w:val="24"/>
        </w:rPr>
      </w:pPr>
      <w:r>
        <w:rPr>
          <w:rFonts w:ascii="Times New Roman" w:hAnsi="Times New Roman"/>
          <w:sz w:val="24"/>
          <w:szCs w:val="24"/>
        </w:rPr>
        <w:t>19. 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w:t>
      </w:r>
    </w:p>
    <w:p w14:paraId="28AC6296" w14:textId="77777777" w:rsidR="00C017D4" w:rsidRDefault="00C017D4" w:rsidP="00C017D4">
      <w:pPr>
        <w:spacing w:line="360" w:lineRule="auto"/>
        <w:ind w:firstLine="709"/>
        <w:jc w:val="both"/>
        <w:rPr>
          <w:rFonts w:ascii="Times New Roman" w:hAnsi="Times New Roman"/>
          <w:sz w:val="24"/>
          <w:szCs w:val="24"/>
        </w:rPr>
      </w:pPr>
      <w:bookmarkStart w:id="0" w:name="part_26c7bc47254e4b9d9769d72ccf9906b9"/>
      <w:bookmarkEnd w:id="0"/>
      <w:r>
        <w:rPr>
          <w:rFonts w:ascii="Times New Roman" w:hAnsi="Times New Roman"/>
          <w:sz w:val="24"/>
          <w:szCs w:val="24"/>
        </w:rPr>
        <w:t>19.1. kai dėl nepaprastosios padėties, ekstremaliosios situacijos ar karantino Komisijos posėdžiai negali vykti nariams posėdyje dalyvaujant fiziškai;</w:t>
      </w:r>
    </w:p>
    <w:p w14:paraId="784EE5B6" w14:textId="77777777" w:rsidR="00C017D4" w:rsidRDefault="00C017D4" w:rsidP="00C017D4">
      <w:pPr>
        <w:spacing w:line="360" w:lineRule="auto"/>
        <w:ind w:firstLine="709"/>
        <w:jc w:val="both"/>
        <w:rPr>
          <w:rFonts w:ascii="Times New Roman" w:hAnsi="Times New Roman"/>
          <w:sz w:val="24"/>
          <w:szCs w:val="24"/>
        </w:rPr>
      </w:pPr>
      <w:bookmarkStart w:id="1" w:name="part_ee5a5ee044b14bd88e77123a51342d94"/>
      <w:bookmarkEnd w:id="1"/>
      <w:r>
        <w:rPr>
          <w:rFonts w:ascii="Times New Roman" w:hAnsi="Times New Roman"/>
          <w:sz w:val="24"/>
          <w:szCs w:val="24"/>
        </w:rPr>
        <w:t>19.2. artimiausią numatytą nuotoliniu būdu arba mišriuoju būdu vyksiantį Komisijos posėdį.</w:t>
      </w:r>
    </w:p>
    <w:p w14:paraId="05CF736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hAnsi="Times New Roman"/>
          <w:sz w:val="24"/>
          <w:szCs w:val="24"/>
        </w:rPr>
        <w:t>20. Nuotoliniu būdu arba mišriuoju būdu vyksiančio savivaldybės tarybos komisijos posėdžio klausimai rengiami ir posėdis vyksta laikantis visų Įstatyme nustatytų reikalavimų. Nuotoliniu būdu arba mišriuoju būdu priimant Komisijos sprendimus, turi būti užtikrinamas Komisijos nario tapatybės ir jo balsavimo rezultatų nustatymas.</w:t>
      </w:r>
    </w:p>
    <w:p w14:paraId="028BDD44"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21. Komisijos posėdis šaukiamas Komisijos pirmininko iniciatyva, taip pat ne mažiau kaip 1/3 Komisijos narių siūlymu. Posėdžio medžiaga Komisijos nariams pateikiama ne vėliau kaip prieš 2 dienas iki posėdžio. </w:t>
      </w:r>
    </w:p>
    <w:p w14:paraId="4AB423D0" w14:textId="77777777" w:rsidR="00C017D4" w:rsidRDefault="00C017D4" w:rsidP="00C017D4">
      <w:pPr>
        <w:autoSpaceDE w:val="0"/>
        <w:spacing w:line="360" w:lineRule="auto"/>
        <w:ind w:firstLine="709"/>
        <w:jc w:val="both"/>
        <w:rPr>
          <w:rFonts w:ascii="Times New Roman" w:hAnsi="Times New Roman"/>
          <w:sz w:val="24"/>
          <w:szCs w:val="24"/>
        </w:rPr>
      </w:pPr>
      <w:r>
        <w:rPr>
          <w:rFonts w:ascii="Times New Roman" w:eastAsia="TimesNewRomanPSMT" w:hAnsi="Times New Roman"/>
          <w:sz w:val="24"/>
          <w:szCs w:val="24"/>
        </w:rPr>
        <w:t xml:space="preserve">22. </w:t>
      </w:r>
      <w:r>
        <w:rPr>
          <w:rFonts w:ascii="Times New Roman" w:hAnsi="Times New Roman"/>
          <w:sz w:val="24"/>
          <w:szCs w:val="24"/>
        </w:rPr>
        <w:t>Komisijos posėdžių metu daromas garso ir vaizdo įrašas. Komisijų posėdžiai transliuojami tiesiogiai.</w:t>
      </w:r>
    </w:p>
    <w:p w14:paraId="7BCEBF8C"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hAnsi="Times New Roman"/>
          <w:sz w:val="24"/>
          <w:szCs w:val="24"/>
        </w:rPr>
        <w:t>23. Posėdžių garso ir vaizdo įrašai teisės aktų nustatyta tvarka saugomi informacinėse laikmenose ir ne vėliau kaip po 2 darbo dienų vienerius metus laiko</w:t>
      </w:r>
      <w:r>
        <w:rPr>
          <w:rFonts w:ascii="Times New Roman" w:hAnsi="Times New Roman"/>
          <w:b/>
          <w:bCs/>
          <w:sz w:val="24"/>
          <w:szCs w:val="24"/>
        </w:rPr>
        <w:t xml:space="preserve"> </w:t>
      </w:r>
      <w:r>
        <w:rPr>
          <w:rFonts w:ascii="Times New Roman" w:hAnsi="Times New Roman"/>
          <w:sz w:val="24"/>
          <w:szCs w:val="24"/>
        </w:rPr>
        <w:t xml:space="preserve">skelbiami viešai Savivaldybės interneto svetainėje. </w:t>
      </w:r>
    </w:p>
    <w:p w14:paraId="45975EA9"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24. Komisijos posėdžius protokoluoja Komisijos sekretorius. </w:t>
      </w:r>
    </w:p>
    <w:p w14:paraId="5B175C86"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25. Komisijos sekretoriaus pareigas atlieka Savivaldybės mero paskirtas valstybės tarnautojas arba darbuotojas, dirbantis pagal darbo sutartį. Komisijos sekretorius Komisijos pirmininko pavedimu kviečia į posėdžius Komisijos narius ir kitus asmenis, rengia posėdžių medžiagą, tvarko, saugo ir parengia perduoti į archyvą Komisijos dokumentus, Komisijos pirmininko pavedimu rengia Komisijos siunčiamus dokumentus.</w:t>
      </w:r>
    </w:p>
    <w:p w14:paraId="2A45666F"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26. </w:t>
      </w:r>
      <w:r>
        <w:rPr>
          <w:rFonts w:ascii="Times New Roman" w:hAnsi="Times New Roman"/>
          <w:sz w:val="24"/>
          <w:szCs w:val="24"/>
        </w:rPr>
        <w:t xml:space="preserve">Posėdžio protokolas pasirašomas per 3 darbo dienas po posėdžio. Jį pasirašo posėdžio pirmininkas ir protokolą rašęs asmuo, išskyrus nuotoliniu būdu vykusių posėdžių protokolus, kuriuos po suderinimo su Komisijos pirmininku pasirašo posėdžio sekretorius. </w:t>
      </w:r>
    </w:p>
    <w:p w14:paraId="43777D6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27. Komisijos narys privalo:</w:t>
      </w:r>
    </w:p>
    <w:p w14:paraId="5A1394EA"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27.1. nusišalinti ir nedalyvauti balsavime, kai svarstomi su juo ar jo šeimos nariais ar artimais giminaičiais susiję klausimai; </w:t>
      </w:r>
    </w:p>
    <w:p w14:paraId="3C44B870"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27.2. saugoti asmens duomenų paslaptį.</w:t>
      </w:r>
    </w:p>
    <w:p w14:paraId="33647BF4"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28. Komisijos techninį ir ūkinį aptarnavimą atlieka Savivaldybės administracija.</w:t>
      </w:r>
    </w:p>
    <w:p w14:paraId="30F3FC42"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hAnsi="Times New Roman"/>
          <w:sz w:val="24"/>
          <w:szCs w:val="24"/>
        </w:rPr>
        <w:t>29. Komisija renkasi kartą per mėnesį, o jeigu nėra klausimų – pagal poreikį.</w:t>
      </w:r>
    </w:p>
    <w:p w14:paraId="1B2147CC"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hAnsi="Times New Roman"/>
          <w:sz w:val="24"/>
          <w:szCs w:val="24"/>
        </w:rPr>
        <w:t xml:space="preserve">30. Komisijai pritarus dėl žymių žmonių, istorinių datų ar įvykių fakto įamžinimo, Savivaldybės administracijos valstybės tarnautojas rengia Savivaldybės tarybos sprendimo projektą. Komisijai nepritarus, Komisijos sekretorius raštiškai informuoja prašymą pareiškusį asmenį apie Komisijos išvadą. </w:t>
      </w:r>
    </w:p>
    <w:p w14:paraId="66CC0C16"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31. Komisija turi teisę:</w:t>
      </w:r>
    </w:p>
    <w:p w14:paraId="3CF8A3E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31.1. pagal savo kompetenciją teikti pasiūlymus Savivaldybės tarybai, Savivaldybės administracijos padaliniams, įmonėms, įstaigoms, organizacijoms ir asmenims;</w:t>
      </w:r>
    </w:p>
    <w:p w14:paraId="29B57F36"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31.2. kviesti į posėdžius Savivaldybės administracijos </w:t>
      </w:r>
      <w:r>
        <w:rPr>
          <w:rFonts w:ascii="Times New Roman" w:eastAsia="TimesNewRomanPSMT" w:hAnsi="Times New Roman"/>
          <w:iCs/>
          <w:sz w:val="24"/>
          <w:szCs w:val="24"/>
        </w:rPr>
        <w:t xml:space="preserve">specialistus, </w:t>
      </w:r>
      <w:r>
        <w:rPr>
          <w:rFonts w:ascii="Times New Roman" w:eastAsia="TimesNewRomanPSMT" w:hAnsi="Times New Roman"/>
          <w:sz w:val="24"/>
          <w:szCs w:val="24"/>
        </w:rPr>
        <w:t xml:space="preserve">įmonių, įstaigų, </w:t>
      </w:r>
      <w:r>
        <w:rPr>
          <w:rFonts w:ascii="Times New Roman" w:eastAsia="TimesNewRomanPSMT" w:hAnsi="Times New Roman"/>
          <w:iCs/>
          <w:sz w:val="24"/>
          <w:szCs w:val="24"/>
        </w:rPr>
        <w:t xml:space="preserve">nevyriausybinių, bendruomeninių organizacijų </w:t>
      </w:r>
      <w:r>
        <w:rPr>
          <w:rFonts w:ascii="Times New Roman" w:eastAsia="TimesNewRomanPSMT" w:hAnsi="Times New Roman"/>
          <w:sz w:val="24"/>
          <w:szCs w:val="24"/>
        </w:rPr>
        <w:t xml:space="preserve">atstovus, </w:t>
      </w:r>
      <w:r>
        <w:rPr>
          <w:rFonts w:ascii="Times New Roman" w:eastAsia="TimesNewRomanPSMT" w:hAnsi="Times New Roman"/>
          <w:iCs/>
          <w:sz w:val="24"/>
          <w:szCs w:val="24"/>
        </w:rPr>
        <w:t xml:space="preserve">ekspertus </w:t>
      </w:r>
      <w:r>
        <w:rPr>
          <w:rFonts w:ascii="Times New Roman" w:eastAsia="TimesNewRomanPSMT" w:hAnsi="Times New Roman"/>
          <w:sz w:val="24"/>
          <w:szCs w:val="24"/>
        </w:rPr>
        <w:t>ir privačius asmenis</w:t>
      </w:r>
      <w:r>
        <w:rPr>
          <w:rFonts w:ascii="Times New Roman" w:eastAsia="TimesNewRomanPSMT" w:hAnsi="Times New Roman"/>
          <w:iCs/>
          <w:sz w:val="24"/>
          <w:szCs w:val="24"/>
        </w:rPr>
        <w:t>, galinčius pateikti svarstomais klausimais išvadas ir informaciją;</w:t>
      </w:r>
    </w:p>
    <w:p w14:paraId="32DDF25D"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31.3. gauti iš Savivaldybės administracijos padalinių, įmonių, įstaigų, organizacijų ir pareigūnų Komisijos darbui reikalingą informaciją ir dokumentus;</w:t>
      </w:r>
    </w:p>
    <w:p w14:paraId="07A7B906" w14:textId="77777777" w:rsidR="00C017D4" w:rsidRDefault="00C017D4" w:rsidP="00C017D4">
      <w:pPr>
        <w:autoSpaceDE w:val="0"/>
        <w:spacing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31.4. naudotis Savivaldybės administracijai priklausančiomis techninėmis ir organizacinėmis priemonėmis.</w:t>
      </w:r>
    </w:p>
    <w:p w14:paraId="4871C97C" w14:textId="77777777" w:rsidR="00C017D4" w:rsidRDefault="00C017D4" w:rsidP="00C017D4">
      <w:pPr>
        <w:autoSpaceDE w:val="0"/>
        <w:spacing w:line="360" w:lineRule="auto"/>
        <w:ind w:firstLine="993"/>
        <w:jc w:val="both"/>
        <w:rPr>
          <w:rFonts w:ascii="Times New Roman" w:eastAsia="TimesNewRomanPSMT" w:hAnsi="Times New Roman"/>
          <w:sz w:val="2"/>
          <w:szCs w:val="2"/>
        </w:rPr>
      </w:pPr>
    </w:p>
    <w:p w14:paraId="504B7DA0"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 xml:space="preserve">IV SKYRIUS </w:t>
      </w:r>
    </w:p>
    <w:p w14:paraId="7B1F4C52" w14:textId="77777777" w:rsidR="00C017D4" w:rsidRDefault="00C017D4" w:rsidP="00C017D4">
      <w:pPr>
        <w:autoSpaceDE w:val="0"/>
        <w:spacing w:line="240" w:lineRule="atLeast"/>
        <w:jc w:val="center"/>
        <w:rPr>
          <w:rFonts w:ascii="Times New Roman" w:eastAsia="TimesNewRomanPS-BoldMT" w:hAnsi="Times New Roman"/>
          <w:b/>
          <w:bCs/>
          <w:sz w:val="24"/>
          <w:szCs w:val="24"/>
        </w:rPr>
      </w:pPr>
      <w:r>
        <w:rPr>
          <w:rFonts w:ascii="Times New Roman" w:eastAsia="TimesNewRomanPS-BoldMT" w:hAnsi="Times New Roman"/>
          <w:b/>
          <w:bCs/>
          <w:sz w:val="24"/>
          <w:szCs w:val="24"/>
        </w:rPr>
        <w:t>BAIGIAMOSIOS NUOSTATOS</w:t>
      </w:r>
    </w:p>
    <w:p w14:paraId="7ABFE6E3" w14:textId="77777777" w:rsidR="00C017D4" w:rsidRDefault="00C017D4" w:rsidP="00C017D4">
      <w:pPr>
        <w:autoSpaceDE w:val="0"/>
        <w:spacing w:line="360" w:lineRule="auto"/>
        <w:jc w:val="center"/>
        <w:rPr>
          <w:rFonts w:ascii="Times New Roman" w:eastAsia="TimesNewRomanPS-BoldMT" w:hAnsi="Times New Roman"/>
          <w:b/>
          <w:bCs/>
          <w:sz w:val="24"/>
          <w:szCs w:val="24"/>
        </w:rPr>
      </w:pPr>
    </w:p>
    <w:p w14:paraId="2F099178" w14:textId="77777777" w:rsidR="00C017D4" w:rsidRDefault="00C017D4" w:rsidP="00C017D4">
      <w:pPr>
        <w:spacing w:line="360" w:lineRule="auto"/>
        <w:ind w:firstLine="709"/>
        <w:jc w:val="both"/>
        <w:rPr>
          <w:rFonts w:ascii="Times New Roman" w:hAnsi="Times New Roman"/>
          <w:sz w:val="24"/>
          <w:szCs w:val="24"/>
        </w:rPr>
      </w:pPr>
      <w:r>
        <w:rPr>
          <w:rFonts w:ascii="Times New Roman" w:eastAsia="TimesNewRomanPS-BoldMT" w:hAnsi="Times New Roman"/>
          <w:bCs/>
          <w:sz w:val="24"/>
          <w:szCs w:val="24"/>
        </w:rPr>
        <w:t>32. K</w:t>
      </w:r>
      <w:r>
        <w:rPr>
          <w:rFonts w:ascii="Times New Roman" w:hAnsi="Times New Roman"/>
          <w:sz w:val="24"/>
          <w:szCs w:val="24"/>
        </w:rPr>
        <w:t>omisijos nuostatai gali būti keičiami Savivaldybės tarybos sprendimu.</w:t>
      </w:r>
    </w:p>
    <w:p w14:paraId="1D1E7DF1" w14:textId="77777777" w:rsidR="00C017D4" w:rsidRDefault="00C017D4" w:rsidP="00C017D4">
      <w:pPr>
        <w:spacing w:line="360" w:lineRule="auto"/>
        <w:ind w:firstLine="709"/>
        <w:jc w:val="both"/>
        <w:rPr>
          <w:rFonts w:ascii="Times New Roman" w:hAnsi="Times New Roman"/>
          <w:sz w:val="24"/>
          <w:szCs w:val="24"/>
        </w:rPr>
      </w:pPr>
      <w:r>
        <w:rPr>
          <w:rFonts w:ascii="Times New Roman" w:hAnsi="Times New Roman"/>
          <w:sz w:val="24"/>
          <w:szCs w:val="24"/>
        </w:rPr>
        <w:t>33. Savivaldybės tarybai pritarus dėl įamžinimo fakto, memorialinių objektų pastatymo Kauno rajono savivaldybėje projektų derinimas vykdomas vadovaujantis Dailės kūrinių įrengimo Kauno rajono viešosiose vietose tvarkos aprašu.</w:t>
      </w:r>
    </w:p>
    <w:p w14:paraId="35D235C2" w14:textId="77777777" w:rsidR="00C017D4" w:rsidRDefault="00C017D4" w:rsidP="00C017D4">
      <w:pPr>
        <w:spacing w:line="360" w:lineRule="auto"/>
        <w:jc w:val="center"/>
        <w:rPr>
          <w:rFonts w:ascii="Times New Roman" w:hAnsi="Times New Roman"/>
          <w:sz w:val="24"/>
          <w:szCs w:val="24"/>
        </w:rPr>
      </w:pPr>
      <w:r>
        <w:rPr>
          <w:rFonts w:ascii="Times New Roman" w:hAnsi="Times New Roman"/>
          <w:sz w:val="24"/>
          <w:szCs w:val="24"/>
        </w:rPr>
        <w:t>_______________________________</w:t>
      </w:r>
    </w:p>
    <w:sectPr w:rsidR="00C017D4"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07EE" w14:textId="77777777" w:rsidR="00C35093" w:rsidRDefault="00C35093">
      <w:r>
        <w:separator/>
      </w:r>
    </w:p>
  </w:endnote>
  <w:endnote w:type="continuationSeparator" w:id="0">
    <w:p w14:paraId="66D56500" w14:textId="77777777" w:rsidR="00C35093" w:rsidRDefault="00C3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BA"/>
    <w:family w:val="auto"/>
    <w:pitch w:val="default"/>
  </w:font>
  <w:font w:name="TimesNewRomanPSMT">
    <w:altName w:val="Yu Gothic UI"/>
    <w:charset w:val="BA"/>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6688" w14:textId="77777777" w:rsidR="00C35093" w:rsidRDefault="00C35093">
      <w:r>
        <w:separator/>
      </w:r>
    </w:p>
  </w:footnote>
  <w:footnote w:type="continuationSeparator" w:id="0">
    <w:p w14:paraId="2D8C1977" w14:textId="77777777" w:rsidR="00C35093" w:rsidRDefault="00C3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8"/>
  </w:num>
  <w:num w:numId="3" w16cid:durableId="1174538025">
    <w:abstractNumId w:val="3"/>
  </w:num>
  <w:num w:numId="4" w16cid:durableId="1829444034">
    <w:abstractNumId w:val="9"/>
  </w:num>
  <w:num w:numId="5" w16cid:durableId="201986056">
    <w:abstractNumId w:val="5"/>
  </w:num>
  <w:num w:numId="6" w16cid:durableId="1184515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7"/>
  </w:num>
  <w:num w:numId="13" w16cid:durableId="183317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30"/>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88E"/>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7D4"/>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093"/>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0B9D"/>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4602"/>
    <w:rsid w:val="00ED5D15"/>
    <w:rsid w:val="00EE0282"/>
    <w:rsid w:val="00EE041D"/>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8CF"/>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3741"/>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uiPriority w:val="99"/>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716511305">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5</Pages>
  <Words>6394</Words>
  <Characters>3646</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2023-06-29T06:29:00Z</cp:lastPrinted>
  <dcterms:created xsi:type="dcterms:W3CDTF">2023-06-27T09:46:00Z</dcterms:created>
  <dcterms:modified xsi:type="dcterms:W3CDTF">2023-06-29T06:29:00Z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