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67A3D139" w:rsidR="00A20EF3" w:rsidRPr="00D2635F" w:rsidRDefault="000204E1" w:rsidP="00FE67F4">
      <w:pPr>
        <w:pStyle w:val="Pavadinimas"/>
        <w:rPr>
          <w:color w:val="000000" w:themeColor="text1"/>
          <w:szCs w:val="28"/>
        </w:rPr>
      </w:pPr>
      <w:r w:rsidRPr="00D2635F">
        <w:rPr>
          <w:color w:val="000000" w:themeColor="text1"/>
          <w:szCs w:val="28"/>
        </w:rPr>
        <w:t>2</w:t>
      </w:r>
      <w:r w:rsidR="00A20EF3" w:rsidRPr="00D2635F">
        <w:rPr>
          <w:color w:val="000000" w:themeColor="text1"/>
          <w:szCs w:val="28"/>
        </w:rPr>
        <w:t xml:space="preserve"> POSĖDIS</w:t>
      </w:r>
    </w:p>
    <w:p w14:paraId="4E5AFAFF" w14:textId="09BADD5D" w:rsidR="0037743B" w:rsidRPr="00D2635F" w:rsidRDefault="0037743B" w:rsidP="00FE67F4">
      <w:pPr>
        <w:pStyle w:val="Pavadinimas"/>
        <w:rPr>
          <w:color w:val="000000" w:themeColor="text1"/>
          <w:szCs w:val="28"/>
        </w:rPr>
      </w:pPr>
    </w:p>
    <w:p w14:paraId="6C1BB52C" w14:textId="77777777" w:rsidR="006B79C4" w:rsidRPr="00D2635F" w:rsidRDefault="006B79C4" w:rsidP="006B79C4">
      <w:pPr>
        <w:pStyle w:val="Antrat1"/>
        <w:keepNext w:val="0"/>
        <w:widowControl w:val="0"/>
        <w:tabs>
          <w:tab w:val="center" w:pos="4536"/>
        </w:tabs>
        <w:jc w:val="center"/>
        <w:rPr>
          <w:color w:val="000000" w:themeColor="text1"/>
          <w:sz w:val="24"/>
          <w:szCs w:val="24"/>
        </w:rPr>
      </w:pPr>
      <w:r w:rsidRPr="00D2635F">
        <w:rPr>
          <w:color w:val="000000" w:themeColor="text1"/>
          <w:sz w:val="24"/>
          <w:szCs w:val="24"/>
        </w:rPr>
        <w:t>SPRENDIMAS</w:t>
      </w:r>
    </w:p>
    <w:p w14:paraId="7E0243FA" w14:textId="77777777" w:rsidR="006B79C4" w:rsidRPr="00D2635F" w:rsidRDefault="006B79C4" w:rsidP="00263FA9">
      <w:pPr>
        <w:jc w:val="center"/>
        <w:rPr>
          <w:rFonts w:ascii="Times New Roman" w:hAnsi="Times New Roman"/>
          <w:b/>
          <w:caps/>
          <w:color w:val="000000" w:themeColor="text1"/>
          <w:sz w:val="24"/>
          <w:szCs w:val="24"/>
        </w:rPr>
      </w:pPr>
      <w:r w:rsidRPr="00D2635F">
        <w:rPr>
          <w:rFonts w:ascii="Times New Roman" w:hAnsi="Times New Roman"/>
          <w:b/>
          <w:caps/>
          <w:color w:val="000000" w:themeColor="text1"/>
          <w:sz w:val="24"/>
          <w:szCs w:val="24"/>
        </w:rPr>
        <w:t>DĖL KAUNO RAJONO SAVIVALDYBĖS TARYBOS KOMITETŲ ĮGALIOJIMŲ NUSTATYMO</w:t>
      </w:r>
    </w:p>
    <w:p w14:paraId="37F6DCB6" w14:textId="77777777" w:rsidR="006B79C4" w:rsidRPr="00D2635F" w:rsidRDefault="006B79C4" w:rsidP="006B79C4">
      <w:pPr>
        <w:tabs>
          <w:tab w:val="center" w:pos="4320"/>
          <w:tab w:val="right" w:pos="8640"/>
        </w:tabs>
        <w:rPr>
          <w:rFonts w:ascii="Times New Roman" w:hAnsi="Times New Roman"/>
          <w:b/>
          <w:caps/>
          <w:color w:val="000000" w:themeColor="text1"/>
          <w:sz w:val="24"/>
          <w:szCs w:val="24"/>
        </w:rPr>
      </w:pPr>
    </w:p>
    <w:p w14:paraId="147DF495" w14:textId="3ABA2EED" w:rsidR="006B79C4" w:rsidRPr="00D2635F" w:rsidRDefault="006B79C4" w:rsidP="006B79C4">
      <w:pPr>
        <w:tabs>
          <w:tab w:val="center" w:pos="4320"/>
          <w:tab w:val="right" w:pos="8640"/>
        </w:tabs>
        <w:jc w:val="center"/>
        <w:rPr>
          <w:rFonts w:ascii="Times New Roman" w:hAnsi="Times New Roman"/>
          <w:color w:val="000000" w:themeColor="text1"/>
          <w:sz w:val="24"/>
          <w:szCs w:val="24"/>
        </w:rPr>
      </w:pPr>
      <w:r w:rsidRPr="00D2635F">
        <w:rPr>
          <w:rFonts w:ascii="Times New Roman" w:hAnsi="Times New Roman"/>
          <w:color w:val="000000" w:themeColor="text1"/>
          <w:sz w:val="24"/>
          <w:szCs w:val="24"/>
        </w:rPr>
        <w:t>2023 m. gegužės 4 d. Nr. TS-</w:t>
      </w:r>
      <w:r w:rsidR="00D2635F" w:rsidRPr="00D2635F">
        <w:rPr>
          <w:rFonts w:ascii="Times New Roman" w:hAnsi="Times New Roman"/>
          <w:color w:val="000000" w:themeColor="text1"/>
          <w:sz w:val="24"/>
          <w:szCs w:val="24"/>
        </w:rPr>
        <w:t>185</w:t>
      </w:r>
    </w:p>
    <w:p w14:paraId="3F1CB007" w14:textId="77777777" w:rsidR="006B79C4" w:rsidRPr="00D2635F" w:rsidRDefault="006B79C4" w:rsidP="006B79C4">
      <w:pPr>
        <w:tabs>
          <w:tab w:val="center" w:pos="4320"/>
          <w:tab w:val="right" w:pos="8640"/>
        </w:tabs>
        <w:jc w:val="center"/>
        <w:rPr>
          <w:rFonts w:ascii="Times New Roman" w:hAnsi="Times New Roman"/>
          <w:color w:val="000000" w:themeColor="text1"/>
          <w:sz w:val="24"/>
          <w:szCs w:val="24"/>
        </w:rPr>
      </w:pPr>
      <w:r w:rsidRPr="00D2635F">
        <w:rPr>
          <w:rFonts w:ascii="Times New Roman" w:hAnsi="Times New Roman"/>
          <w:color w:val="000000" w:themeColor="text1"/>
          <w:sz w:val="24"/>
          <w:szCs w:val="24"/>
        </w:rPr>
        <w:t>Kaunas</w:t>
      </w:r>
    </w:p>
    <w:p w14:paraId="4A99C35A" w14:textId="77777777" w:rsidR="006B79C4" w:rsidRPr="00D2635F" w:rsidRDefault="006B79C4" w:rsidP="006B79C4">
      <w:pPr>
        <w:tabs>
          <w:tab w:val="center" w:pos="4320"/>
          <w:tab w:val="right" w:pos="8640"/>
        </w:tabs>
        <w:spacing w:line="360" w:lineRule="auto"/>
        <w:ind w:firstLine="851"/>
        <w:jc w:val="both"/>
        <w:rPr>
          <w:rFonts w:ascii="Times New Roman" w:hAnsi="Times New Roman"/>
          <w:color w:val="000000" w:themeColor="text1"/>
          <w:sz w:val="24"/>
          <w:szCs w:val="24"/>
        </w:rPr>
      </w:pPr>
    </w:p>
    <w:p w14:paraId="07E82020" w14:textId="77777777" w:rsidR="006B79C4" w:rsidRPr="00D2635F" w:rsidRDefault="006B79C4" w:rsidP="006B79C4">
      <w:pPr>
        <w:tabs>
          <w:tab w:val="center" w:pos="4320"/>
          <w:tab w:val="right" w:pos="8640"/>
        </w:tabs>
        <w:spacing w:line="360" w:lineRule="auto"/>
        <w:ind w:firstLine="851"/>
        <w:jc w:val="both"/>
        <w:rPr>
          <w:rFonts w:ascii="Times New Roman" w:hAnsi="Times New Roman"/>
          <w:color w:val="000000" w:themeColor="text1"/>
          <w:sz w:val="24"/>
          <w:szCs w:val="24"/>
        </w:rPr>
      </w:pPr>
    </w:p>
    <w:p w14:paraId="6F252997"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Vadovaudamasi Lietuvos Respublikos vietos savivaldos įstatymo 15 straipsnio 2 dalies 4 punktu,</w:t>
      </w:r>
      <w:r w:rsidRPr="00D2635F">
        <w:rPr>
          <w:rFonts w:ascii="Times New Roman" w:hAnsi="Times New Roman"/>
          <w:b/>
          <w:bCs/>
          <w:color w:val="000000" w:themeColor="text1"/>
          <w:sz w:val="24"/>
          <w:szCs w:val="24"/>
        </w:rPr>
        <w:t xml:space="preserve"> </w:t>
      </w:r>
      <w:r w:rsidRPr="00D2635F">
        <w:rPr>
          <w:rFonts w:ascii="Times New Roman" w:hAnsi="Times New Roman"/>
          <w:color w:val="000000" w:themeColor="text1"/>
          <w:sz w:val="24"/>
          <w:szCs w:val="24"/>
        </w:rPr>
        <w:t>19</w:t>
      </w:r>
      <w:r w:rsidRPr="00D2635F">
        <w:rPr>
          <w:rFonts w:ascii="Times New Roman" w:hAnsi="Times New Roman"/>
          <w:color w:val="000000" w:themeColor="text1"/>
          <w:spacing w:val="-1"/>
          <w:sz w:val="24"/>
          <w:szCs w:val="24"/>
        </w:rPr>
        <w:t xml:space="preserve"> straipsnio 3 dalimi, Kauno rajono savivaldybės tarybos reglamento, patvirtinto </w:t>
      </w:r>
      <w:bookmarkStart w:id="0" w:name="_Hlk132961743"/>
      <w:r w:rsidRPr="00D2635F">
        <w:rPr>
          <w:rFonts w:ascii="Times New Roman" w:hAnsi="Times New Roman"/>
          <w:color w:val="000000" w:themeColor="text1"/>
          <w:sz w:val="24"/>
          <w:szCs w:val="24"/>
        </w:rPr>
        <w:t>Kauno rajono savivaldybės tarybos</w:t>
      </w:r>
      <w:bookmarkEnd w:id="0"/>
      <w:r w:rsidRPr="00D2635F">
        <w:rPr>
          <w:rFonts w:ascii="Times New Roman" w:hAnsi="Times New Roman"/>
          <w:color w:val="000000" w:themeColor="text1"/>
          <w:sz w:val="24"/>
          <w:szCs w:val="24"/>
        </w:rPr>
        <w:t xml:space="preserve"> 2023 m. kovo 30 d. sprendimu Nr. TS-176 „Dėl Kauno rajono savivaldybės tarybos reglamento patvirtinimo“</w:t>
      </w:r>
      <w:r w:rsidRPr="00D2635F">
        <w:rPr>
          <w:rFonts w:ascii="Times New Roman" w:hAnsi="Times New Roman"/>
          <w:color w:val="000000" w:themeColor="text1"/>
          <w:spacing w:val="-1"/>
          <w:sz w:val="24"/>
          <w:szCs w:val="24"/>
        </w:rPr>
        <w:t xml:space="preserve">, 67 ir 68 punktais, </w:t>
      </w:r>
      <w:r w:rsidRPr="00D2635F">
        <w:rPr>
          <w:rFonts w:ascii="Times New Roman" w:hAnsi="Times New Roman"/>
          <w:color w:val="000000" w:themeColor="text1"/>
          <w:sz w:val="24"/>
          <w:szCs w:val="24"/>
        </w:rPr>
        <w:t>Kauno rajono savivaldybės taryba n u s p r e n d ž i a:</w:t>
      </w:r>
    </w:p>
    <w:p w14:paraId="7FB96802" w14:textId="77777777" w:rsidR="006B79C4" w:rsidRPr="00D2635F" w:rsidRDefault="006B79C4" w:rsidP="00263FA9">
      <w:pPr>
        <w:tabs>
          <w:tab w:val="left" w:pos="720"/>
          <w:tab w:val="left" w:pos="5683"/>
        </w:tabs>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lang w:eastAsia="en-US"/>
        </w:rPr>
        <w:t>1. Nustatyti, kad Savivaldybės tarybos komitetai, išskyrus Kontrolės, turi įgaliojimus</w:t>
      </w:r>
      <w:bookmarkStart w:id="1" w:name="_Hlk133263879"/>
      <w:r w:rsidRPr="00D2635F">
        <w:rPr>
          <w:rFonts w:ascii="Times New Roman" w:hAnsi="Times New Roman"/>
          <w:color w:val="000000" w:themeColor="text1"/>
          <w:sz w:val="24"/>
          <w:szCs w:val="24"/>
          <w:lang w:eastAsia="en-US"/>
        </w:rPr>
        <w:t>,</w:t>
      </w:r>
      <w:r w:rsidRPr="00D2635F">
        <w:rPr>
          <w:rFonts w:ascii="Times New Roman" w:hAnsi="Times New Roman"/>
          <w:color w:val="000000" w:themeColor="text1"/>
          <w:sz w:val="24"/>
          <w:szCs w:val="24"/>
        </w:rPr>
        <w:t xml:space="preserve"> </w:t>
      </w:r>
      <w:bookmarkEnd w:id="1"/>
      <w:r w:rsidRPr="00D2635F">
        <w:rPr>
          <w:rFonts w:ascii="Times New Roman" w:hAnsi="Times New Roman"/>
          <w:color w:val="000000" w:themeColor="text1"/>
          <w:sz w:val="24"/>
          <w:szCs w:val="24"/>
        </w:rPr>
        <w:t xml:space="preserve">preliminariai nagrinėti </w:t>
      </w:r>
      <w:r w:rsidRPr="00D2635F">
        <w:rPr>
          <w:rFonts w:ascii="Times New Roman" w:hAnsi="Times New Roman"/>
          <w:color w:val="000000" w:themeColor="text1"/>
          <w:sz w:val="24"/>
          <w:szCs w:val="24"/>
          <w:lang w:eastAsia="en-US"/>
        </w:rPr>
        <w:t>Savivaldybės tarybai</w:t>
      </w:r>
      <w:r w:rsidRPr="00D2635F">
        <w:rPr>
          <w:rFonts w:ascii="Times New Roman" w:hAnsi="Times New Roman"/>
          <w:color w:val="000000" w:themeColor="text1"/>
          <w:sz w:val="24"/>
          <w:szCs w:val="24"/>
        </w:rPr>
        <w:t xml:space="preserve"> teikiamus sprendimų projektus ir teikti išvadas bei pasiūlymus, taip pat kontroliuoti, kaip laikomasi įstatymų ir vykdomi Vyriausybės nutarimai, Savivaldybės tarybos, mero sprendimai, šiais klausimais:</w:t>
      </w:r>
    </w:p>
    <w:p w14:paraId="06D81322"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bookmarkStart w:id="2" w:name="_Hlk133222104"/>
      <w:r w:rsidRPr="00D2635F">
        <w:rPr>
          <w:rFonts w:ascii="Times New Roman" w:hAnsi="Times New Roman"/>
          <w:color w:val="000000" w:themeColor="text1"/>
          <w:sz w:val="24"/>
          <w:szCs w:val="24"/>
        </w:rPr>
        <w:t>1.1. Biudžeto ir finansų:</w:t>
      </w:r>
    </w:p>
    <w:p w14:paraId="2A62C350"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 xml:space="preserve">1.1.1. </w:t>
      </w:r>
      <w:r w:rsidRPr="00D2635F">
        <w:rPr>
          <w:rFonts w:ascii="Times New Roman" w:hAnsi="Times New Roman"/>
          <w:color w:val="000000" w:themeColor="text1"/>
          <w:sz w:val="24"/>
          <w:szCs w:val="24"/>
          <w:lang w:eastAsia="en-US"/>
        </w:rPr>
        <w:t xml:space="preserve">Savivaldybės biudžeto ir </w:t>
      </w:r>
      <w:r w:rsidRPr="00D2635F">
        <w:rPr>
          <w:rFonts w:ascii="Times New Roman" w:hAnsi="Times New Roman"/>
          <w:bCs/>
          <w:color w:val="000000" w:themeColor="text1"/>
          <w:sz w:val="24"/>
          <w:szCs w:val="24"/>
          <w:lang w:eastAsia="en-US"/>
        </w:rPr>
        <w:t xml:space="preserve">Savivaldybės </w:t>
      </w:r>
      <w:r w:rsidRPr="00D2635F">
        <w:rPr>
          <w:rFonts w:ascii="Times New Roman" w:hAnsi="Times New Roman"/>
          <w:color w:val="000000" w:themeColor="text1"/>
          <w:sz w:val="24"/>
          <w:szCs w:val="24"/>
          <w:lang w:eastAsia="en-US"/>
        </w:rPr>
        <w:t>metinių</w:t>
      </w:r>
      <w:r w:rsidRPr="00D2635F">
        <w:rPr>
          <w:rFonts w:ascii="Times New Roman" w:hAnsi="Times New Roman"/>
          <w:bCs/>
          <w:color w:val="000000" w:themeColor="text1"/>
          <w:sz w:val="24"/>
          <w:szCs w:val="24"/>
          <w:lang w:eastAsia="en-US"/>
        </w:rPr>
        <w:t xml:space="preserve"> ataskaitų rinkinio</w:t>
      </w:r>
      <w:r w:rsidRPr="00D2635F">
        <w:rPr>
          <w:rFonts w:ascii="Times New Roman" w:hAnsi="Times New Roman"/>
          <w:color w:val="000000" w:themeColor="text1"/>
          <w:sz w:val="24"/>
          <w:szCs w:val="24"/>
          <w:lang w:eastAsia="en-US"/>
        </w:rPr>
        <w:t xml:space="preserve"> tvirtinimas, Savivaldybės biudžeto tikslinimas;</w:t>
      </w:r>
    </w:p>
    <w:p w14:paraId="29EBA43D"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bookmarkStart w:id="3" w:name="_Hlk132968792"/>
      <w:r w:rsidRPr="00D2635F">
        <w:rPr>
          <w:rFonts w:ascii="Times New Roman" w:hAnsi="Times New Roman"/>
          <w:color w:val="000000" w:themeColor="text1"/>
          <w:sz w:val="24"/>
          <w:szCs w:val="24"/>
        </w:rPr>
        <w:t xml:space="preserve">1.1.2. </w:t>
      </w:r>
      <w:bookmarkEnd w:id="3"/>
      <w:r w:rsidRPr="00D2635F">
        <w:rPr>
          <w:rFonts w:ascii="Times New Roman" w:hAnsi="Times New Roman"/>
          <w:bCs/>
          <w:color w:val="000000" w:themeColor="text1"/>
          <w:sz w:val="24"/>
          <w:szCs w:val="24"/>
          <w:lang w:eastAsia="en-US"/>
        </w:rPr>
        <w:t>sprendimų dėl papildomų ir biudžeto planą viršijančių Savivaldybės biudžeto pajamų ir kitų piniginių lėšų paskirstymo, tikslinės paskirties ir specializuotų fondų sudarymo ir naudojimo priėmimas</w:t>
      </w:r>
      <w:r w:rsidRPr="00D2635F">
        <w:rPr>
          <w:rFonts w:ascii="Times New Roman" w:hAnsi="Times New Roman"/>
          <w:color w:val="000000" w:themeColor="text1"/>
          <w:sz w:val="24"/>
          <w:szCs w:val="24"/>
          <w:lang w:eastAsia="en-US"/>
        </w:rPr>
        <w:t>;</w:t>
      </w:r>
    </w:p>
    <w:p w14:paraId="50087946"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bookmarkStart w:id="4" w:name="_Hlk132970228"/>
      <w:r w:rsidRPr="00D2635F">
        <w:rPr>
          <w:rFonts w:ascii="Times New Roman" w:hAnsi="Times New Roman"/>
          <w:color w:val="000000" w:themeColor="text1"/>
          <w:sz w:val="24"/>
          <w:szCs w:val="24"/>
        </w:rPr>
        <w:t>1.1.3.</w:t>
      </w:r>
      <w:r w:rsidRPr="00D2635F">
        <w:rPr>
          <w:rFonts w:ascii="Times New Roman" w:hAnsi="Times New Roman"/>
          <w:color w:val="000000" w:themeColor="text1"/>
          <w:sz w:val="24"/>
          <w:szCs w:val="24"/>
          <w:lang w:eastAsia="en-US"/>
        </w:rPr>
        <w:t xml:space="preserve"> </w:t>
      </w:r>
      <w:bookmarkEnd w:id="4"/>
      <w:r w:rsidRPr="00D2635F">
        <w:rPr>
          <w:rFonts w:ascii="Times New Roman" w:hAnsi="Times New Roman"/>
          <w:color w:val="000000" w:themeColor="text1"/>
          <w:sz w:val="24"/>
          <w:szCs w:val="24"/>
          <w:lang w:eastAsia="en-US"/>
        </w:rPr>
        <w:t xml:space="preserve">Savivaldybės biudžetinių įstaigų struktūros, nuostatų ir darbo užmokesčio fondo tvirtinimas, didžiausio leistino valstybės tarnautojų ir darbuotojų, dirbančių pagal darbo sutartis, pareigybių skaičiaus Savivaldybės biudžetinėse įstaigose nustatymas; </w:t>
      </w:r>
    </w:p>
    <w:p w14:paraId="70214659"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 xml:space="preserve">1.1.4. </w:t>
      </w:r>
      <w:r w:rsidRPr="00D2635F">
        <w:rPr>
          <w:rFonts w:ascii="Times New Roman" w:hAnsi="Times New Roman"/>
          <w:color w:val="000000" w:themeColor="text1"/>
          <w:sz w:val="24"/>
          <w:szCs w:val="24"/>
          <w:lang w:eastAsia="en-US"/>
        </w:rPr>
        <w:t>sprendimų teikti mokesčių, rinkliavų ir kitas lengvatas Savivaldybės biudžeto lėšomis, sprendimų dėl sumokėtų mokesčių, rinkliavų (ar jų dalies) kompensavimo tvarkos nustatymas, subsidijų ir kompensacijų skyrimo naujas darbo vietas steigiančioms visų teisinių formų įmonėms tvarkos nustatymas atitinkamai keičiant Savivaldybės biudžetą tais atvejais, kai lėšų tam nebuvo numatyta;</w:t>
      </w:r>
      <w:r w:rsidRPr="00D2635F">
        <w:rPr>
          <w:rFonts w:ascii="Times New Roman" w:hAnsi="Times New Roman"/>
          <w:bCs/>
          <w:color w:val="000000" w:themeColor="text1"/>
          <w:sz w:val="24"/>
          <w:szCs w:val="24"/>
          <w:lang w:eastAsia="en-US"/>
        </w:rPr>
        <w:t xml:space="preserve"> </w:t>
      </w:r>
    </w:p>
    <w:p w14:paraId="4794AEF4" w14:textId="77777777" w:rsidR="006B79C4" w:rsidRPr="00D2635F" w:rsidRDefault="006B79C4" w:rsidP="00263FA9">
      <w:pPr>
        <w:suppressAutoHyphens/>
        <w:autoSpaceDN w:val="0"/>
        <w:spacing w:line="360" w:lineRule="auto"/>
        <w:ind w:firstLine="851"/>
        <w:jc w:val="both"/>
        <w:textAlignment w:val="baseline"/>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lastRenderedPageBreak/>
        <w:t xml:space="preserve">1.1.5. </w:t>
      </w:r>
      <w:r w:rsidRPr="00D2635F">
        <w:rPr>
          <w:rFonts w:ascii="Times New Roman" w:hAnsi="Times New Roman"/>
          <w:color w:val="000000" w:themeColor="text1"/>
          <w:sz w:val="24"/>
          <w:szCs w:val="24"/>
          <w:lang w:eastAsia="en-US"/>
        </w:rPr>
        <w:t xml:space="preserve">kainų ir tarifų už Savivaldybės valdomų įmonių, biudžetinių ir viešųjų įstaigų (kurių savininkė yra Savivaldybė) teikiamas atlygintinas viešąsias paslaugas ir keleivių vežimą vietiniais maršrutais nustatymas, centralizuotai tiekiamos šilumos, karšto vandens kainų nustatymas (tvirtinimas), vietinių rinkliavų, įmokų ir mokesčių tarifų nustatymas; </w:t>
      </w:r>
    </w:p>
    <w:p w14:paraId="2E08B2C3"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1.1.6.</w:t>
      </w:r>
      <w:r w:rsidRPr="00D2635F">
        <w:rPr>
          <w:rFonts w:ascii="Times New Roman" w:hAnsi="Times New Roman"/>
          <w:bCs/>
          <w:color w:val="000000" w:themeColor="text1"/>
          <w:sz w:val="24"/>
          <w:szCs w:val="24"/>
          <w:lang w:eastAsia="en-US"/>
        </w:rPr>
        <w:t xml:space="preserve"> sprendimų dėl tam tikros veiklos nepriklausomo audito atlikimo Savivaldybės įstaigose ar Savivaldybės valdomose įmonėse priėmimas;</w:t>
      </w:r>
      <w:r w:rsidRPr="00D2635F">
        <w:rPr>
          <w:rFonts w:ascii="Times New Roman" w:hAnsi="Times New Roman"/>
          <w:color w:val="000000" w:themeColor="text1"/>
          <w:sz w:val="24"/>
          <w:szCs w:val="24"/>
          <w:lang w:eastAsia="en-US"/>
        </w:rPr>
        <w:t xml:space="preserve"> </w:t>
      </w:r>
    </w:p>
    <w:p w14:paraId="1EBEC0CD" w14:textId="77777777" w:rsidR="006B79C4" w:rsidRPr="00D2635F" w:rsidRDefault="006B79C4" w:rsidP="00263FA9">
      <w:pPr>
        <w:tabs>
          <w:tab w:val="left" w:pos="1985"/>
        </w:tabs>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1.1.7. Savivaldybės</w:t>
      </w:r>
      <w:r w:rsidRPr="00D2635F">
        <w:rPr>
          <w:rFonts w:ascii="Times New Roman" w:hAnsi="Times New Roman"/>
          <w:bCs/>
          <w:color w:val="000000" w:themeColor="text1"/>
          <w:sz w:val="24"/>
          <w:szCs w:val="24"/>
          <w:lang w:eastAsia="en-US"/>
        </w:rPr>
        <w:t xml:space="preserve"> vardu sudaromų sutarčių pasirašymo tvarkos aprašo tvirtinimas;</w:t>
      </w:r>
    </w:p>
    <w:p w14:paraId="16F749C6"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1.1.8.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w:t>
      </w:r>
    </w:p>
    <w:p w14:paraId="27D5E77B"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lang w:eastAsia="en-US"/>
        </w:rPr>
        <w:t xml:space="preserve">1.1.9. sprendimų dėl viešojo ir privataus sektorių partnerystės projektų įgyvendinimo tikslingumo priėmimas; </w:t>
      </w:r>
    </w:p>
    <w:p w14:paraId="541E1626"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 xml:space="preserve">1.1.10. </w:t>
      </w:r>
      <w:r w:rsidRPr="00D2635F">
        <w:rPr>
          <w:rFonts w:ascii="Times New Roman" w:hAnsi="Times New Roman"/>
          <w:bCs/>
          <w:color w:val="000000" w:themeColor="text1"/>
          <w:sz w:val="24"/>
          <w:szCs w:val="24"/>
          <w:lang w:eastAsia="en-US"/>
        </w:rPr>
        <w:t>taisyklių, už kurių pažeidimą atsiranda administracinė atsakomybė, ir kitų taisyklių tvirtinimas;</w:t>
      </w:r>
    </w:p>
    <w:p w14:paraId="2144A00D"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 xml:space="preserve">1.1.11. </w:t>
      </w:r>
      <w:r w:rsidRPr="00D2635F">
        <w:rPr>
          <w:rFonts w:ascii="Times New Roman" w:hAnsi="Times New Roman"/>
          <w:bCs/>
          <w:color w:val="000000" w:themeColor="text1"/>
          <w:sz w:val="24"/>
          <w:szCs w:val="24"/>
          <w:lang w:eastAsia="en-US"/>
        </w:rPr>
        <w:t>Savivaldybės tarybos komisijų, kitų Savivaldybės darbui organizuoti reikalingų darinių, jų nuostatų tvirtinimas;</w:t>
      </w:r>
    </w:p>
    <w:p w14:paraId="60BCC9F1" w14:textId="77777777" w:rsidR="006B79C4" w:rsidRPr="00D2635F" w:rsidRDefault="006B79C4" w:rsidP="00263FA9">
      <w:pPr>
        <w:spacing w:line="360" w:lineRule="auto"/>
        <w:ind w:firstLine="851"/>
        <w:jc w:val="both"/>
        <w:rPr>
          <w:rFonts w:ascii="Times New Roman" w:hAnsi="Times New Roman"/>
          <w:color w:val="000000" w:themeColor="text1"/>
          <w:sz w:val="24"/>
          <w:szCs w:val="24"/>
          <w:lang w:eastAsia="en-US"/>
        </w:rPr>
      </w:pPr>
      <w:r w:rsidRPr="00D2635F">
        <w:rPr>
          <w:rFonts w:ascii="Times New Roman" w:hAnsi="Times New Roman"/>
          <w:color w:val="000000" w:themeColor="text1"/>
          <w:sz w:val="24"/>
          <w:szCs w:val="24"/>
        </w:rPr>
        <w:t xml:space="preserve">1.1.12. </w:t>
      </w:r>
      <w:r w:rsidRPr="00D2635F">
        <w:rPr>
          <w:rFonts w:ascii="Times New Roman" w:hAnsi="Times New Roman"/>
          <w:bCs/>
          <w:color w:val="000000" w:themeColor="text1"/>
          <w:sz w:val="24"/>
          <w:szCs w:val="24"/>
          <w:lang w:eastAsia="en-US"/>
        </w:rPr>
        <w:t>Savivaldybės tarybos komitetų ir komisijų pirmininkų ir pirmininkų pavaduotojų skyrimas (išskyrus Vietos savivaldos įstatymo nustatytas išimtis);</w:t>
      </w:r>
    </w:p>
    <w:p w14:paraId="459C1DBC"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1.1.13. sprendimų dėl projektų ir sprendimų, kuriems įgyvendinti reikalingos biudžeto lėšos, tikslingumo priėmimas; </w:t>
      </w:r>
    </w:p>
    <w:p w14:paraId="112D8074" w14:textId="77777777" w:rsidR="006B79C4" w:rsidRPr="00D2635F" w:rsidRDefault="006B79C4" w:rsidP="00263FA9">
      <w:pPr>
        <w:suppressAutoHyphens/>
        <w:autoSpaceDN w:val="0"/>
        <w:spacing w:line="360" w:lineRule="auto"/>
        <w:ind w:firstLine="851"/>
        <w:jc w:val="both"/>
        <w:textAlignment w:val="baseline"/>
        <w:rPr>
          <w:rFonts w:ascii="Times New Roman" w:hAnsi="Times New Roman"/>
          <w:bCs/>
          <w:color w:val="000000" w:themeColor="text1"/>
          <w:sz w:val="24"/>
          <w:szCs w:val="24"/>
          <w:lang w:eastAsia="en-US"/>
        </w:rPr>
      </w:pPr>
      <w:r w:rsidRPr="00D2635F">
        <w:rPr>
          <w:rFonts w:ascii="Times New Roman" w:hAnsi="Times New Roman"/>
          <w:bCs/>
          <w:color w:val="000000" w:themeColor="text1"/>
          <w:sz w:val="24"/>
          <w:szCs w:val="24"/>
          <w:lang w:eastAsia="en-US"/>
        </w:rPr>
        <w:t>1.1.14. viešųjų įstaigų (kurių savininkė yra Savivaldybė) vidaus kontrolės tvarkos nustatymas;</w:t>
      </w:r>
    </w:p>
    <w:p w14:paraId="19A59CBD" w14:textId="77777777" w:rsidR="006B79C4" w:rsidRPr="00D2635F" w:rsidRDefault="006B79C4" w:rsidP="00263FA9">
      <w:pPr>
        <w:suppressAutoHyphens/>
        <w:autoSpaceDN w:val="0"/>
        <w:spacing w:line="360" w:lineRule="auto"/>
        <w:ind w:firstLine="851"/>
        <w:jc w:val="both"/>
        <w:textAlignment w:val="baseline"/>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1.1.15. Savivaldybės valdomų įmonių metinių finansinių ataskaitų </w:t>
      </w:r>
      <w:r w:rsidRPr="00D2635F">
        <w:rPr>
          <w:rFonts w:ascii="Times New Roman" w:hAnsi="Times New Roman"/>
          <w:bCs/>
          <w:iCs/>
          <w:color w:val="000000" w:themeColor="text1"/>
          <w:sz w:val="24"/>
          <w:szCs w:val="24"/>
        </w:rPr>
        <w:t>rinkinių</w:t>
      </w:r>
      <w:r w:rsidRPr="00D2635F">
        <w:rPr>
          <w:rFonts w:ascii="Times New Roman" w:hAnsi="Times New Roman"/>
          <w:color w:val="000000" w:themeColor="text1"/>
          <w:sz w:val="24"/>
          <w:szCs w:val="24"/>
        </w:rPr>
        <w:t>, metinių pranešimų ir (ar) veiklos ataskaitų tvirtinimas;</w:t>
      </w:r>
    </w:p>
    <w:p w14:paraId="017AB3CA" w14:textId="77777777" w:rsidR="006B79C4" w:rsidRPr="00D2635F" w:rsidRDefault="006B79C4" w:rsidP="00263FA9">
      <w:pPr>
        <w:suppressAutoHyphens/>
        <w:autoSpaceDN w:val="0"/>
        <w:spacing w:line="360" w:lineRule="auto"/>
        <w:ind w:firstLine="851"/>
        <w:jc w:val="both"/>
        <w:textAlignment w:val="baseline"/>
        <w:rPr>
          <w:rFonts w:ascii="Times New Roman" w:hAnsi="Times New Roman"/>
          <w:color w:val="000000" w:themeColor="text1"/>
          <w:sz w:val="24"/>
          <w:szCs w:val="24"/>
          <w:lang w:eastAsia="en-US"/>
        </w:rPr>
      </w:pPr>
      <w:r w:rsidRPr="00D2635F">
        <w:rPr>
          <w:rFonts w:ascii="Times New Roman" w:hAnsi="Times New Roman"/>
          <w:bCs/>
          <w:color w:val="000000" w:themeColor="text1"/>
          <w:sz w:val="24"/>
          <w:szCs w:val="24"/>
        </w:rPr>
        <w:t>1.1.16. sprendimų dėl valstybės socialinių ir ekonominių programų tikslinių lėšų, kitų valstybės fondų lėšų ir materialiojo turto paskirstymo biudžetinėms įstaigoms priėmimas;</w:t>
      </w:r>
    </w:p>
    <w:p w14:paraId="5B4FF78A"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1.1.17. kiti su biudžetu ir finansais susiję klausimai. </w:t>
      </w:r>
    </w:p>
    <w:p w14:paraId="25D85AF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 Kultūros, švietimo ir sporto:</w:t>
      </w:r>
    </w:p>
    <w:p w14:paraId="7825FE35"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 valstybinės švietimo politikos Savivaldybėje įgyvendinimas;</w:t>
      </w:r>
    </w:p>
    <w:p w14:paraId="6496209A"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 xml:space="preserve">1.2.2. valstybinės kultūros ir sporto politikos Savivaldybėje įgyvendinimas; </w:t>
      </w:r>
    </w:p>
    <w:p w14:paraId="6E6D9CC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1.2.3. biudžetinių ir viešųjų švietimo, kultūros ir sporto įstaigų (kurių savininkė yra Savivaldybė) steigimo, reorganizavimo, pertvarkymo, atskyrimo, likvidavimo ir  sprendimų dėl dalyvavimo steigiant viešuosius ir privačius juridinius asmenis priėmimas, taip pat juridinių asmenų, kurių dalyvė yra Savivaldybė, priežiūra;</w:t>
      </w:r>
    </w:p>
    <w:p w14:paraId="7E240FD3"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lastRenderedPageBreak/>
        <w:t>1.2.4. ikimokyklinio, priešmokyklinio, pradinio, pagrindinio ir vidurinio ugdymo, vaikų ir suaugusiųjų neformaliojo švietimo programas teikiančių mokyklų tinklo formavimas, sąlygų vaikų privalomajam švietimui vykdyti sudarymas;</w:t>
      </w:r>
    </w:p>
    <w:p w14:paraId="487FFEF9" w14:textId="77777777" w:rsidR="006B79C4" w:rsidRPr="00D2635F" w:rsidRDefault="006B79C4" w:rsidP="00263FA9">
      <w:pPr>
        <w:tabs>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color w:val="000000" w:themeColor="text1"/>
          <w:sz w:val="24"/>
          <w:szCs w:val="24"/>
          <w:highlight w:val="yellow"/>
        </w:rPr>
        <w:tab/>
      </w:r>
      <w:r w:rsidRPr="00D2635F">
        <w:rPr>
          <w:rFonts w:ascii="Times New Roman" w:hAnsi="Times New Roman"/>
          <w:color w:val="000000" w:themeColor="text1"/>
          <w:sz w:val="24"/>
          <w:szCs w:val="24"/>
        </w:rPr>
        <w:t>1.2.5. Savivaldybės</w:t>
      </w:r>
      <w:r w:rsidRPr="00D2635F">
        <w:rPr>
          <w:rFonts w:ascii="Times New Roman" w:hAnsi="Times New Roman"/>
          <w:bCs/>
          <w:color w:val="000000" w:themeColor="text1"/>
          <w:sz w:val="24"/>
          <w:szCs w:val="24"/>
        </w:rPr>
        <w:t xml:space="preserve"> biudžetinių įstaigų </w:t>
      </w:r>
      <w:r w:rsidRPr="00D2635F">
        <w:rPr>
          <w:rFonts w:ascii="Times New Roman" w:hAnsi="Times New Roman"/>
          <w:color w:val="000000" w:themeColor="text1"/>
          <w:sz w:val="24"/>
          <w:szCs w:val="24"/>
        </w:rPr>
        <w:t>metinių</w:t>
      </w:r>
      <w:r w:rsidRPr="00D2635F">
        <w:rPr>
          <w:rFonts w:ascii="Times New Roman" w:hAnsi="Times New Roman"/>
          <w:bCs/>
          <w:color w:val="000000" w:themeColor="text1"/>
          <w:sz w:val="24"/>
          <w:szCs w:val="24"/>
        </w:rPr>
        <w:t xml:space="preserve"> ataskaitų rinkinių tvirtinimas;</w:t>
      </w:r>
    </w:p>
    <w:p w14:paraId="716570E5"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1.2.6. bendrojo lavinimo mokyklų mokinių, gyvenančių kaimo gyvenamosiose vietovėse, neatlygintino pavėžėjimo į mokyklas ir į namus organizavimas; </w:t>
      </w:r>
    </w:p>
    <w:p w14:paraId="5BA8E43F"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1.2.7. maitinimo paslaugų švietimo įstaigose, įgyvendinančiose mokymą pagal ikimokyklinio, priešmokyklinio ir bendrojo lavinimo programas, organizavimas;</w:t>
      </w:r>
    </w:p>
    <w:p w14:paraId="794923D1"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1.2.8. gyventojų bendrosios kultūros ugdymo ir etnokultūros puoselėjimas;</w:t>
      </w:r>
    </w:p>
    <w:p w14:paraId="05F00E7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1.2.9. vaikų ir jaunimo užimtumo organizavimas;</w:t>
      </w:r>
    </w:p>
    <w:p w14:paraId="65671FA0"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pacing w:val="-10"/>
          <w:sz w:val="24"/>
          <w:szCs w:val="24"/>
        </w:rPr>
      </w:pPr>
      <w:r w:rsidRPr="00D2635F">
        <w:rPr>
          <w:rFonts w:ascii="Times New Roman" w:hAnsi="Times New Roman"/>
          <w:color w:val="000000" w:themeColor="text1"/>
          <w:sz w:val="24"/>
          <w:szCs w:val="24"/>
        </w:rPr>
        <w:tab/>
        <w:t xml:space="preserve">1.2.10. </w:t>
      </w:r>
      <w:r w:rsidRPr="00D2635F">
        <w:rPr>
          <w:rFonts w:ascii="Times New Roman" w:hAnsi="Times New Roman"/>
          <w:color w:val="000000" w:themeColor="text1"/>
          <w:spacing w:val="-10"/>
          <w:sz w:val="24"/>
          <w:szCs w:val="24"/>
        </w:rPr>
        <w:t>Savivaldybės saugomų vietinės reikšmės gamtos ir kultūros paveldo objektų skelbimas;</w:t>
      </w:r>
    </w:p>
    <w:p w14:paraId="403532C3"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1.2.11. gatvių, aikščių, pastatų, statinių ir kitų Savivaldybei nuosavybės teise priklausančių objektų pavadinimų suteikimas ir jų keitimas;</w:t>
      </w:r>
    </w:p>
    <w:p w14:paraId="53E9436C"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1.2.12. švietimo pagalbos teikimo mokiniui, mokytojui, šeimai, mokyklai, vaiko minimaliosios priežiūros priemonių vykdymo organizavimas ir koordinavimas;</w:t>
      </w:r>
    </w:p>
    <w:p w14:paraId="36CC653F"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1.2.13. Savivaldybės gyventojų kūno kultūros ir sporto (mėgėjiško ir profesionalaus) plėtojimas, gyventojų poilsio organizavimas;</w:t>
      </w:r>
    </w:p>
    <w:p w14:paraId="5A54E1A6"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1.2.14. jaunimo politikos programų ir priemonių įgyvendinimas;</w:t>
      </w:r>
    </w:p>
    <w:p w14:paraId="05618D40"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1.2.15. Savivaldybės ilgalaikių sporto plėtros tikslų, Savivaldybės biudžeto lėšomis finansuotinų sporto sričių nustatymas;</w:t>
      </w:r>
    </w:p>
    <w:p w14:paraId="0A7491F7"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1.2.16. sporto infrastruktūros plėtra;</w:t>
      </w:r>
    </w:p>
    <w:p w14:paraId="35106FAC"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1.2.17. sporto srityje veikiančių fizinių ir juridinių asmenų veiklos finansavimas;</w:t>
      </w:r>
    </w:p>
    <w:p w14:paraId="5298E323"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1.2.18. siūlymų tvirtinti Savivaldybės gyvenamųjų vietovių herbus teikimas, kitų Savivaldybės simbolių ir jų naudojimo tvarkos tvirtinimas, Savivaldybės apdovanojimų teikimas;</w:t>
      </w:r>
    </w:p>
    <w:p w14:paraId="4E4EA4C2"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1.2.19. </w:t>
      </w:r>
      <w:r w:rsidRPr="00D2635F">
        <w:rPr>
          <w:rFonts w:ascii="Times New Roman" w:hAnsi="Times New Roman"/>
          <w:bCs/>
          <w:color w:val="000000" w:themeColor="text1"/>
          <w:sz w:val="24"/>
          <w:szCs w:val="24"/>
        </w:rPr>
        <w:t>Savivaldybės saugomų teritorijų steigimas, Savivaldybės saugomų vietinės reikšmės gamtos ir kultūros paveldo objektų skelbimas;</w:t>
      </w:r>
    </w:p>
    <w:p w14:paraId="3A1387A9" w14:textId="77777777" w:rsidR="006B79C4" w:rsidRPr="00D2635F" w:rsidRDefault="006B79C4" w:rsidP="00263FA9">
      <w:pPr>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1.2.20.</w:t>
      </w:r>
      <w:r w:rsidRPr="00D2635F">
        <w:rPr>
          <w:rFonts w:ascii="Times New Roman" w:hAnsi="Times New Roman"/>
          <w:color w:val="000000" w:themeColor="text1"/>
          <w:sz w:val="24"/>
          <w:szCs w:val="24"/>
        </w:rPr>
        <w:t xml:space="preserve"> kiti su kultūros, švietimo, sporto, kultūros paveldo, turizmo ir jaunimo reikalų sritimis susiję klausimai.</w:t>
      </w:r>
    </w:p>
    <w:p w14:paraId="1A48286D"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1.3. Socialinių reikalų ir sveikatos:</w:t>
      </w:r>
    </w:p>
    <w:p w14:paraId="5D43A2C1"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 socialinių paslaugų ir sveikatos įstaigų bei organizacijų steigimas, išlaikymas, reorganizavimas, pertvarkymas, likvidavimas ir dalyvavimas steigiant viešuosius ir privačius juridinius asmenis, taip pat juridinių asmenų, kurių dalyvė yra Savivaldybė, priežiūra;</w:t>
      </w:r>
    </w:p>
    <w:p w14:paraId="06C7B90F" w14:textId="77777777" w:rsidR="006B79C4" w:rsidRPr="00D2635F" w:rsidRDefault="006B79C4" w:rsidP="00263FA9">
      <w:pPr>
        <w:tabs>
          <w:tab w:val="left" w:pos="851"/>
          <w:tab w:val="left" w:pos="993"/>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1.3.2. socialinių paslaugų planavimas ir teikimas;</w:t>
      </w:r>
    </w:p>
    <w:p w14:paraId="371319FD"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lastRenderedPageBreak/>
        <w:tab/>
        <w:t xml:space="preserve">1.3.3. Savivaldybės būsto ir socialinio būsto fondo sudarymo tvarkos, būsto suteikimo tvarkos ir nuomos mokesčio dydžio tvirtinimas; </w:t>
      </w:r>
    </w:p>
    <w:p w14:paraId="72D8D8D2"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ab/>
        <w:t>1.3.4. kompensacijų tam tikroms vartotojų grupėms mokėjimo priėmimas, papildomos socialinės paramos, socialinių pašalpų ir kompensacijų skyrimo iš Savivaldybės biudžeto tvarkos nustatymas, priedo fiziniam asmeniui (globėjui (rūpintojui) už vaiko globą (rūpybą) dydžio ir mokėjimo iš Savivaldybės biudžeto tvarkos nustatymas;</w:t>
      </w:r>
    </w:p>
    <w:p w14:paraId="0402EF4C"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1.3.5. Savivaldybės kolegijos sudarymas;</w:t>
      </w:r>
    </w:p>
    <w:p w14:paraId="7FA2E596"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 xml:space="preserve">1.3.6. sprendimo dėl </w:t>
      </w:r>
      <w:r w:rsidRPr="00D2635F">
        <w:rPr>
          <w:rFonts w:ascii="Times New Roman" w:hAnsi="Times New Roman"/>
          <w:color w:val="000000" w:themeColor="text1"/>
          <w:sz w:val="24"/>
          <w:szCs w:val="24"/>
        </w:rPr>
        <w:t>Savivaldybės tarybos nario, mero įgaliojimų netekimo priėmimas, mero pareigas laikinai einančio Savivaldybės tarybos nario darbo užmokesčio nustatymas;</w:t>
      </w:r>
    </w:p>
    <w:p w14:paraId="274EA76D"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 xml:space="preserve">1.3.7. Savivaldybės tarybos komitetų ir komisijų pirmininkų ir pirmininkų pavaduotojų skyrimas; </w:t>
      </w:r>
    </w:p>
    <w:p w14:paraId="0F79C4DC"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eastAsia="Calibri" w:hAnsi="Times New Roman"/>
          <w:color w:val="000000" w:themeColor="text1"/>
          <w:sz w:val="24"/>
          <w:szCs w:val="24"/>
        </w:rPr>
        <w:t>1.3.8. Kontrolės komiteto veiklos programos tvirtinimas;</w:t>
      </w:r>
      <w:r w:rsidRPr="00D2635F">
        <w:rPr>
          <w:rFonts w:ascii="Times New Roman" w:hAnsi="Times New Roman"/>
          <w:color w:val="000000" w:themeColor="text1"/>
          <w:sz w:val="24"/>
          <w:szCs w:val="24"/>
        </w:rPr>
        <w:tab/>
        <w:t xml:space="preserve"> </w:t>
      </w:r>
    </w:p>
    <w:p w14:paraId="4D81F19B" w14:textId="77777777" w:rsidR="006B79C4" w:rsidRPr="00D2635F" w:rsidRDefault="006B79C4" w:rsidP="00263FA9">
      <w:pPr>
        <w:tabs>
          <w:tab w:val="left" w:pos="851"/>
          <w:tab w:val="center" w:pos="99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1.3.9. Savivaldybės sveikatinimo priemonių planavimas ir įgyvendinimas;</w:t>
      </w:r>
    </w:p>
    <w:p w14:paraId="0D1E9E4E"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 xml:space="preserve">1.3.10. triukšmo valdymo, prevencijos ir jo mažinimo priemonių įgyvendinimas; </w:t>
      </w:r>
    </w:p>
    <w:p w14:paraId="6AABC563"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r>
      <w:bookmarkStart w:id="5" w:name="_Hlk132798418"/>
      <w:r w:rsidRPr="00D2635F">
        <w:rPr>
          <w:rFonts w:ascii="Times New Roman" w:hAnsi="Times New Roman"/>
          <w:color w:val="000000" w:themeColor="text1"/>
          <w:sz w:val="24"/>
          <w:szCs w:val="24"/>
        </w:rPr>
        <w:t xml:space="preserve">1.3.11. Savivaldybės kontrolieriaus skyrimas ir kiti su šių politikų ir valstybės tarnautojų veikla susiję klausimai; </w:t>
      </w:r>
      <w:bookmarkEnd w:id="5"/>
    </w:p>
    <w:p w14:paraId="5AC069DD"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1.3.12. Mero politinio (asmeninio) pasitikėjimo valstybės tarnautojų pareigybių skaičiaus nustatymas;</w:t>
      </w:r>
    </w:p>
    <w:p w14:paraId="22AA29A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1.3.13. Savivaldybės tarybos reglamento tvirtinimas, Savivaldybės tarybos komitetų, komisijų, kitų komisijų sudarymas, jų nuostatų tvirtinimas, ataskaitų išklausymas ir kiti su Savivaldybės darbui organizuoti reikalingų darinių veikla susiję klausimai;</w:t>
      </w:r>
    </w:p>
    <w:p w14:paraId="750C30B2"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1.3.14. jungimosi į savivaldybių sąjungas, bendradarbiavimo su užsienio šalių savivaldybėmis ar prisijungimo prie tarptautinių savivaldos organizacijų klausimai;</w:t>
      </w:r>
    </w:p>
    <w:p w14:paraId="6FB51EBD"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1.3.15. Savivaldybės tarybos narių delegavimas į regiono plėtros tarybos kolegiją, įstatymų nustatytas komisijas ir įgaliojimų jiems suteikimas;</w:t>
      </w:r>
    </w:p>
    <w:p w14:paraId="12691F17"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1.3.16. vietos gyventojų apklausos tvarkos aprašo tvirtinimas;</w:t>
      </w:r>
    </w:p>
    <w:p w14:paraId="65DA7485"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1.3.17. Savivaldybės teritorijoje veikiančių bendruomeninių ir nevyriausybinių organizacijų veiklos ir bendradarbiavimo su jomis klausimai;</w:t>
      </w:r>
    </w:p>
    <w:p w14:paraId="08B4F0E1"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1.3.18. nepasitikėjimo vicemeru ar Savivaldybės administracijos direktoriumi pareiškimas;</w:t>
      </w:r>
    </w:p>
    <w:p w14:paraId="2089A40F" w14:textId="77777777" w:rsidR="006B79C4" w:rsidRPr="00D2635F" w:rsidRDefault="006B79C4" w:rsidP="00263FA9">
      <w:pPr>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1.3.19. taisyklių, už kurių pažeidimą atsiranda administracinė atsakomybė, ir kitų taisyklių tvirtinimas;</w:t>
      </w:r>
      <w:r w:rsidRPr="00D2635F">
        <w:rPr>
          <w:rFonts w:ascii="Times New Roman" w:hAnsi="Times New Roman"/>
          <w:color w:val="000000" w:themeColor="text1"/>
          <w:sz w:val="24"/>
          <w:szCs w:val="24"/>
        </w:rPr>
        <w:t xml:space="preserve"> </w:t>
      </w:r>
    </w:p>
    <w:p w14:paraId="5B678F6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1.3.20. kiti su šeimos stiprinimu, pirmine asmens ir visuomenės sveikatos priežiūra, socialine parama ir socialinėmis paslaugomis susiję klausimai;</w:t>
      </w:r>
    </w:p>
    <w:p w14:paraId="2EF4D528"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lastRenderedPageBreak/>
        <w:t>1.3.21. Savivaldybės prioritetų, susijusių su šeimos stiprinimu Savivaldybėje, nustatymo ir šeimoms aktualių klausimų sprendimas;</w:t>
      </w:r>
    </w:p>
    <w:p w14:paraId="01A2339B"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bookmarkStart w:id="6" w:name="part_4aadacf38d2945c9939598ba0711c7d2"/>
      <w:bookmarkEnd w:id="6"/>
      <w:r w:rsidRPr="00D2635F">
        <w:rPr>
          <w:rFonts w:ascii="Times New Roman" w:hAnsi="Times New Roman"/>
          <w:color w:val="000000" w:themeColor="text1"/>
          <w:sz w:val="24"/>
          <w:szCs w:val="24"/>
        </w:rPr>
        <w:t>1.3.22. Savivaldybės teisės aktų, darančių įtaką šeimų padėčiai Savivaldybėje, rengimas ir įgyvendinimas;</w:t>
      </w:r>
    </w:p>
    <w:p w14:paraId="46A26D2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bookmarkStart w:id="7" w:name="part_4c027f14f6644d8ca14606787b316141"/>
      <w:bookmarkEnd w:id="7"/>
      <w:r w:rsidRPr="00D2635F">
        <w:rPr>
          <w:rFonts w:ascii="Times New Roman" w:hAnsi="Times New Roman"/>
          <w:color w:val="000000" w:themeColor="text1"/>
          <w:sz w:val="24"/>
          <w:szCs w:val="24"/>
        </w:rPr>
        <w:t>1.3.23. siūlymų Savivaldybės institucijoms ir įstaigoms dėl veiksmų, kuriant šeimai palankią aplinką Savivaldybėje, įgyvendinimo tobulinimas.</w:t>
      </w:r>
    </w:p>
    <w:p w14:paraId="6041E1E2"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1.4. Ūkio ir darnios plėtros:</w:t>
      </w:r>
    </w:p>
    <w:p w14:paraId="5A837E4E"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1.4.1. Savivaldybės strateginių plėtros ir veiklos planų, atskirų ūkio šakų (sektorių) plėtros programų tvirtinimas ir ataskaitų dėl jų įgyvendinimo išklausymas bei sprendimų dėl jų priėmimas;</w:t>
      </w:r>
    </w:p>
    <w:p w14:paraId="01916310"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bCs/>
          <w:color w:val="000000" w:themeColor="text1"/>
          <w:sz w:val="24"/>
          <w:szCs w:val="24"/>
        </w:rPr>
        <w:t>1.4.2. s</w:t>
      </w:r>
      <w:r w:rsidRPr="00D2635F">
        <w:rPr>
          <w:rFonts w:ascii="Times New Roman" w:hAnsi="Times New Roman"/>
          <w:color w:val="000000" w:themeColor="text1"/>
          <w:sz w:val="24"/>
          <w:szCs w:val="24"/>
        </w:rPr>
        <w:t>trateginio planavimo Savivaldybėje organizavimo tvarkos aprašo tvirtinimas;</w:t>
      </w:r>
    </w:p>
    <w:p w14:paraId="4191FF6E"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 xml:space="preserve">1.4.3. Savivaldybės bendrojo plano ar Savivaldybės dalių bendrųjų planų tvirtinimas; </w:t>
      </w:r>
    </w:p>
    <w:p w14:paraId="1900F5A8"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1.4.4. Savivaldybės saugomų teritorijų steigimas;</w:t>
      </w:r>
    </w:p>
    <w:p w14:paraId="54DCF30A"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1.4.5. Savivaldybės infrastruktūros plėtros organizatoriaus funkcijų pavedimas Savivaldybės administracijai ar kitam viešajam juridiniam asmeniui, kiti su Lietuvos Respublikos infrastruktūros įstatymo įgyvendinimu susiję klausimai;</w:t>
      </w:r>
    </w:p>
    <w:p w14:paraId="3B64ABA3" w14:textId="77777777" w:rsidR="006B79C4" w:rsidRPr="00D2635F" w:rsidRDefault="006B79C4" w:rsidP="00263FA9">
      <w:pPr>
        <w:tabs>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color w:val="000000" w:themeColor="text1"/>
          <w:sz w:val="24"/>
          <w:szCs w:val="24"/>
        </w:rPr>
        <w:tab/>
        <w:t xml:space="preserve">1.4.6. Savivaldybės </w:t>
      </w:r>
      <w:r w:rsidRPr="00D2635F">
        <w:rPr>
          <w:rFonts w:ascii="Times New Roman" w:hAnsi="Times New Roman"/>
          <w:bCs/>
          <w:color w:val="000000" w:themeColor="text1"/>
          <w:sz w:val="24"/>
          <w:szCs w:val="24"/>
        </w:rPr>
        <w:t>valdomų įmonių steigimas, reorganizavimas, likvidavimas ir dalyvavimas steigiant viešuosius ir privačius juridinius asmenis, taip pat juridinių asmenų, kurių dalyvė yra Savivaldybė, priežiūra;</w:t>
      </w:r>
    </w:p>
    <w:p w14:paraId="2019605D"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bCs/>
          <w:color w:val="000000" w:themeColor="text1"/>
          <w:sz w:val="24"/>
          <w:szCs w:val="24"/>
        </w:rPr>
        <w:tab/>
        <w:t>1.4.7. Savivaldybei nuosavybės teise priklausančio turto valdymas, naudojimas ir</w:t>
      </w:r>
      <w:r w:rsidRPr="00D2635F">
        <w:rPr>
          <w:rFonts w:ascii="Times New Roman" w:hAnsi="Times New Roman"/>
          <w:color w:val="000000" w:themeColor="text1"/>
          <w:sz w:val="24"/>
          <w:szCs w:val="24"/>
        </w:rPr>
        <w:t xml:space="preserve"> disponavimas;</w:t>
      </w:r>
    </w:p>
    <w:p w14:paraId="08928297"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1.4.8. Savivaldybei priskirtos valstybinės žemės ir kito valstybės turto valdymas, naudojimas ir disponavimas juo;</w:t>
      </w:r>
    </w:p>
    <w:p w14:paraId="77A8942C"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bCs/>
          <w:color w:val="000000" w:themeColor="text1"/>
          <w:sz w:val="24"/>
          <w:szCs w:val="24"/>
          <w:lang w:eastAsia="en-US"/>
        </w:rPr>
        <w:t>1.4.9.</w:t>
      </w:r>
      <w:r w:rsidRPr="00D2635F">
        <w:rPr>
          <w:rFonts w:ascii="Times New Roman" w:hAnsi="Times New Roman"/>
          <w:color w:val="000000" w:themeColor="text1"/>
          <w:sz w:val="24"/>
          <w:szCs w:val="24"/>
        </w:rPr>
        <w:t xml:space="preserve"> socialinės ir gamybinės infrastruktūros objektų projektavimo ir statybos klausimai;</w:t>
      </w:r>
    </w:p>
    <w:p w14:paraId="19495A77"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1.4.10. Savivaldybės vietinės reikšmės kelių ir gatvių priežiūros, taisymo, tiesimo ir saugaus eismo organizavimas;</w:t>
      </w:r>
    </w:p>
    <w:p w14:paraId="2E205216"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1.4.11. keleivių vežimo vietiniais maršrutais organizavimas;</w:t>
      </w:r>
    </w:p>
    <w:p w14:paraId="28F9DB14"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1.4.12. šilumos ir geriamojo vandens tiekimo ir nuotekų tvarkymo organizavimas;</w:t>
      </w:r>
    </w:p>
    <w:p w14:paraId="145653E1"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1.4.13. centralizuotai tiekiamos šilumos, šalto ir karšto vandens kainų nustatymo (tvirtinimo), vietinių rinkliavų ir mokesčių tarifų nustatymas;</w:t>
      </w:r>
    </w:p>
    <w:p w14:paraId="4EDC8866" w14:textId="77777777" w:rsidR="006B79C4" w:rsidRPr="00D2635F" w:rsidRDefault="006B79C4" w:rsidP="00263FA9">
      <w:pPr>
        <w:tabs>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ab/>
        <w:t>1.4.14. Savivaldybės teritorijos tvarkymo, švaros ir kitų taisyklių tvirtinimas;</w:t>
      </w:r>
    </w:p>
    <w:p w14:paraId="7D698A97" w14:textId="77777777" w:rsidR="006B79C4" w:rsidRPr="00D2635F" w:rsidRDefault="006B79C4" w:rsidP="00263FA9">
      <w:pPr>
        <w:tabs>
          <w:tab w:val="center" w:pos="4153"/>
          <w:tab w:val="right" w:pos="8306"/>
        </w:tabs>
        <w:spacing w:line="360" w:lineRule="auto"/>
        <w:ind w:firstLine="851"/>
        <w:jc w:val="both"/>
        <w:rPr>
          <w:rFonts w:ascii="Times New Roman" w:hAnsi="Times New Roman"/>
          <w:bCs/>
          <w:color w:val="000000" w:themeColor="text1"/>
          <w:sz w:val="24"/>
          <w:szCs w:val="24"/>
        </w:rPr>
      </w:pPr>
      <w:r w:rsidRPr="00D2635F">
        <w:rPr>
          <w:rFonts w:ascii="Times New Roman" w:hAnsi="Times New Roman"/>
          <w:bCs/>
          <w:color w:val="000000" w:themeColor="text1"/>
          <w:sz w:val="24"/>
          <w:szCs w:val="24"/>
        </w:rPr>
        <w:t xml:space="preserve">1.4.15. siūlymų keisti Savivaldybės teritorijos ribas, suteikti savivaldybei pavadinimą ir jį keisti, sudaryti gyvenamąsias vietoves, nustatyti ir keisti jų pavadinimus, teritorijų ribas teikimas Vyriausybei; </w:t>
      </w:r>
    </w:p>
    <w:p w14:paraId="54F6C561" w14:textId="77777777" w:rsidR="006B79C4" w:rsidRPr="00D2635F" w:rsidRDefault="006B79C4" w:rsidP="00263FA9">
      <w:pPr>
        <w:widowControl w:val="0"/>
        <w:tabs>
          <w:tab w:val="left" w:pos="1134"/>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lastRenderedPageBreak/>
        <w:t>1.4.16. seniūnijų steigimas, panaikinimas ir jų skaičiaus nustatymas, pavadinimų seniūnijoms suteikimas ir jų keitimo, teritorijų priskyrimas seniūnijoms, jų aptarnaujamų teritorijų ribų nustatymas ir keitimas;</w:t>
      </w:r>
    </w:p>
    <w:p w14:paraId="19FF0444"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1.4.17. seniūnijų-biudžetinių įstaigų nuostatų tvirtinimas; </w:t>
      </w:r>
    </w:p>
    <w:p w14:paraId="67535900"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pacing w:val="-6"/>
          <w:sz w:val="24"/>
          <w:szCs w:val="24"/>
        </w:rPr>
      </w:pPr>
      <w:r w:rsidRPr="00D2635F">
        <w:rPr>
          <w:rFonts w:ascii="Times New Roman" w:hAnsi="Times New Roman"/>
          <w:color w:val="000000" w:themeColor="text1"/>
          <w:sz w:val="24"/>
          <w:szCs w:val="24"/>
        </w:rPr>
        <w:tab/>
        <w:t xml:space="preserve">1.4.18. </w:t>
      </w:r>
      <w:r w:rsidRPr="00D2635F">
        <w:rPr>
          <w:rFonts w:ascii="Times New Roman" w:hAnsi="Times New Roman"/>
          <w:color w:val="000000" w:themeColor="text1"/>
          <w:spacing w:val="-6"/>
          <w:sz w:val="24"/>
          <w:szCs w:val="24"/>
        </w:rPr>
        <w:t xml:space="preserve">seniūnaičių rinkimų tvarkos ir kiti su seniūnaičių veikla susiję klausimai; </w:t>
      </w:r>
    </w:p>
    <w:p w14:paraId="038A4CF7"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pacing w:val="-6"/>
          <w:sz w:val="24"/>
          <w:szCs w:val="24"/>
        </w:rPr>
        <w:t xml:space="preserve">1.4.19. </w:t>
      </w:r>
      <w:r w:rsidRPr="00D2635F">
        <w:rPr>
          <w:rFonts w:ascii="Times New Roman" w:hAnsi="Times New Roman"/>
          <w:bCs/>
          <w:color w:val="000000" w:themeColor="text1"/>
          <w:sz w:val="24"/>
          <w:szCs w:val="24"/>
        </w:rPr>
        <w:t>viešųjų įstaigų (kurių savininkė yra Savivaldybė) kolegialių organų sudarymas;</w:t>
      </w:r>
    </w:p>
    <w:p w14:paraId="6BB74BC9" w14:textId="77777777" w:rsidR="006B79C4" w:rsidRPr="00D2635F" w:rsidRDefault="006B79C4" w:rsidP="00263FA9">
      <w:pPr>
        <w:tabs>
          <w:tab w:val="left" w:pos="851"/>
          <w:tab w:val="center" w:pos="4153"/>
          <w:tab w:val="right" w:pos="8306"/>
        </w:tabs>
        <w:spacing w:line="360" w:lineRule="auto"/>
        <w:ind w:firstLine="851"/>
        <w:jc w:val="both"/>
        <w:rPr>
          <w:rFonts w:ascii="Times New Roman" w:hAnsi="Times New Roman"/>
          <w:color w:val="000000" w:themeColor="text1"/>
          <w:spacing w:val="-6"/>
          <w:sz w:val="24"/>
          <w:szCs w:val="24"/>
        </w:rPr>
      </w:pPr>
      <w:r w:rsidRPr="00D2635F">
        <w:rPr>
          <w:rFonts w:ascii="Times New Roman" w:hAnsi="Times New Roman"/>
          <w:color w:val="000000" w:themeColor="text1"/>
          <w:sz w:val="24"/>
          <w:szCs w:val="24"/>
        </w:rPr>
        <w:t xml:space="preserve">1.4.20. </w:t>
      </w:r>
      <w:r w:rsidRPr="00D2635F">
        <w:rPr>
          <w:rFonts w:ascii="Times New Roman" w:hAnsi="Times New Roman"/>
          <w:bCs/>
          <w:color w:val="000000" w:themeColor="text1"/>
          <w:sz w:val="24"/>
          <w:szCs w:val="24"/>
        </w:rPr>
        <w:t xml:space="preserve">viešųjų įstaigų (kurių savininkė yra Savivaldybė) </w:t>
      </w:r>
      <w:r w:rsidRPr="00D2635F">
        <w:rPr>
          <w:rFonts w:ascii="Times New Roman" w:hAnsi="Times New Roman"/>
          <w:color w:val="000000" w:themeColor="text1"/>
          <w:sz w:val="24"/>
          <w:szCs w:val="24"/>
        </w:rPr>
        <w:t>metinių</w:t>
      </w:r>
      <w:r w:rsidRPr="00D2635F">
        <w:rPr>
          <w:rFonts w:ascii="Times New Roman" w:hAnsi="Times New Roman"/>
          <w:bCs/>
          <w:color w:val="000000" w:themeColor="text1"/>
          <w:sz w:val="24"/>
          <w:szCs w:val="24"/>
        </w:rPr>
        <w:t xml:space="preserve"> ataskaitų rinkinių tvirtinimas;</w:t>
      </w:r>
    </w:p>
    <w:p w14:paraId="71E356BA"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1.4.21. kiti su strateginiu planavimu, komunaliniu ūkiu, energetika, transportu, aplinkosauga, </w:t>
      </w:r>
      <w:r w:rsidRPr="00D2635F">
        <w:rPr>
          <w:rFonts w:ascii="Times New Roman" w:hAnsi="Times New Roman"/>
          <w:bCs/>
          <w:color w:val="000000" w:themeColor="text1"/>
          <w:sz w:val="24"/>
          <w:szCs w:val="24"/>
        </w:rPr>
        <w:t>žemės ūkiu ir investicijomis</w:t>
      </w:r>
      <w:r w:rsidRPr="00D2635F">
        <w:rPr>
          <w:rFonts w:ascii="Times New Roman" w:hAnsi="Times New Roman"/>
          <w:color w:val="000000" w:themeColor="text1"/>
          <w:sz w:val="24"/>
          <w:szCs w:val="24"/>
        </w:rPr>
        <w:t xml:space="preserve"> susiję klausimai;</w:t>
      </w:r>
    </w:p>
    <w:p w14:paraId="39830F63"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bCs/>
          <w:color w:val="000000" w:themeColor="text1"/>
          <w:sz w:val="24"/>
          <w:szCs w:val="24"/>
        </w:rPr>
        <w:t>1.4.22. sprendimų dėl valstybės socialinių ir ekonominių programų tikslinių lėšų, kitų valstybės fondų lėšų ir materialiojo turto paskirstymo biudžetinėms įstaigoms priėmimas.</w:t>
      </w:r>
    </w:p>
    <w:bookmarkEnd w:id="2"/>
    <w:p w14:paraId="73F21F81" w14:textId="77777777" w:rsidR="006B79C4" w:rsidRPr="00D2635F" w:rsidRDefault="006B79C4" w:rsidP="00263FA9">
      <w:pPr>
        <w:tabs>
          <w:tab w:val="left" w:pos="1296"/>
          <w:tab w:val="center" w:pos="4153"/>
          <w:tab w:val="right" w:pos="8306"/>
        </w:tabs>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2. Pripažinti netekusiu galios Kauno rajono savivaldybės tarybos 2021 m. sausio 28 d. sprendimą Nr. TS-39 „D</w:t>
      </w:r>
      <w:r w:rsidRPr="00D2635F">
        <w:rPr>
          <w:rFonts w:ascii="Times New Roman" w:hAnsi="Times New Roman"/>
          <w:bCs/>
          <w:color w:val="000000" w:themeColor="text1"/>
          <w:sz w:val="24"/>
          <w:szCs w:val="24"/>
        </w:rPr>
        <w:t>ėl Kauno rajono savivaldybės tarybos komitetų įgaliojimų nustatymo“</w:t>
      </w:r>
      <w:r w:rsidRPr="00D2635F">
        <w:rPr>
          <w:rFonts w:ascii="Times New Roman" w:hAnsi="Times New Roman"/>
          <w:color w:val="000000" w:themeColor="text1"/>
          <w:sz w:val="24"/>
          <w:szCs w:val="24"/>
        </w:rPr>
        <w:t>.</w:t>
      </w:r>
    </w:p>
    <w:p w14:paraId="2AAF9033" w14:textId="77777777" w:rsidR="006B79C4" w:rsidRPr="00D2635F" w:rsidRDefault="006B79C4" w:rsidP="00263FA9">
      <w:pPr>
        <w:spacing w:line="360" w:lineRule="auto"/>
        <w:ind w:firstLine="851"/>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w:t>
      </w:r>
      <w:r w:rsidRPr="00D2635F">
        <w:rPr>
          <w:rFonts w:ascii="Times New Roman" w:hAnsi="Times New Roman"/>
          <w:color w:val="000000" w:themeColor="text1"/>
          <w:sz w:val="24"/>
          <w:szCs w:val="24"/>
        </w:rPr>
        <w:br/>
        <w:t xml:space="preserve">(A. Mickevičiaus g. 8A, LT-44312 Kaunas) Lietuvos Respublikos administracinių bylų teisenos įstatymo nustatyta tvarka per vieną mėnesį nuo šio sprendimo paskelbimo arba įteikimo suinteresuotam asmeniui dienos. </w:t>
      </w:r>
    </w:p>
    <w:p w14:paraId="2C3BC394" w14:textId="77777777" w:rsidR="006B79C4" w:rsidRPr="00D2635F" w:rsidRDefault="006B79C4" w:rsidP="00263FA9">
      <w:pPr>
        <w:tabs>
          <w:tab w:val="left" w:pos="1296"/>
          <w:tab w:val="center" w:pos="4153"/>
          <w:tab w:val="right" w:pos="8306"/>
        </w:tabs>
        <w:spacing w:line="360" w:lineRule="auto"/>
        <w:ind w:firstLine="851"/>
        <w:jc w:val="both"/>
        <w:rPr>
          <w:rFonts w:ascii="Times New Roman" w:hAnsi="Times New Roman"/>
          <w:color w:val="000000" w:themeColor="text1"/>
          <w:sz w:val="24"/>
          <w:szCs w:val="24"/>
        </w:rPr>
      </w:pPr>
    </w:p>
    <w:p w14:paraId="0BCAD072" w14:textId="77777777" w:rsidR="006B79C4" w:rsidRPr="00D2635F" w:rsidRDefault="006B79C4" w:rsidP="00263FA9">
      <w:pPr>
        <w:tabs>
          <w:tab w:val="left" w:pos="1296"/>
          <w:tab w:val="center" w:pos="4153"/>
          <w:tab w:val="right" w:pos="8306"/>
        </w:tabs>
        <w:spacing w:line="360" w:lineRule="auto"/>
        <w:ind w:firstLine="851"/>
        <w:jc w:val="both"/>
        <w:rPr>
          <w:rFonts w:ascii="Times New Roman" w:hAnsi="Times New Roman"/>
          <w:color w:val="000000" w:themeColor="text1"/>
          <w:sz w:val="24"/>
          <w:szCs w:val="24"/>
        </w:rPr>
      </w:pPr>
    </w:p>
    <w:p w14:paraId="7EAB6A6B" w14:textId="09480C77" w:rsidR="006B79C4" w:rsidRPr="00D2635F" w:rsidRDefault="006B79C4" w:rsidP="00263FA9">
      <w:pPr>
        <w:spacing w:line="360" w:lineRule="auto"/>
        <w:jc w:val="both"/>
        <w:rPr>
          <w:rFonts w:ascii="Times New Roman" w:hAnsi="Times New Roman"/>
          <w:color w:val="000000" w:themeColor="text1"/>
          <w:sz w:val="24"/>
          <w:szCs w:val="24"/>
        </w:rPr>
      </w:pPr>
      <w:r w:rsidRPr="00D2635F">
        <w:rPr>
          <w:rFonts w:ascii="Times New Roman" w:hAnsi="Times New Roman"/>
          <w:color w:val="000000" w:themeColor="text1"/>
          <w:sz w:val="24"/>
          <w:szCs w:val="24"/>
        </w:rPr>
        <w:t>Savivaldybės meras</w:t>
      </w:r>
      <w:r w:rsidR="00D2635F" w:rsidRPr="00D2635F">
        <w:rPr>
          <w:rFonts w:ascii="Times New Roman" w:hAnsi="Times New Roman"/>
          <w:color w:val="000000" w:themeColor="text1"/>
          <w:sz w:val="24"/>
          <w:szCs w:val="24"/>
        </w:rPr>
        <w:t xml:space="preserve"> </w:t>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r>
      <w:r w:rsidR="00D2635F" w:rsidRPr="00D2635F">
        <w:rPr>
          <w:rFonts w:ascii="Times New Roman" w:hAnsi="Times New Roman"/>
          <w:color w:val="000000" w:themeColor="text1"/>
          <w:sz w:val="24"/>
          <w:szCs w:val="24"/>
        </w:rPr>
        <w:tab/>
        <w:t>Valerijus Makūnas</w:t>
      </w:r>
    </w:p>
    <w:p w14:paraId="111E963E"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5D76764E"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24A56781"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7880792E"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73B5D830"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22339AA8"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30C0E431"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72FEF860"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3A8B6D24"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p w14:paraId="11E6D812" w14:textId="77777777" w:rsidR="006B79C4" w:rsidRPr="00D2635F" w:rsidRDefault="006B79C4" w:rsidP="00263FA9">
      <w:pPr>
        <w:spacing w:line="360" w:lineRule="auto"/>
        <w:ind w:firstLine="851"/>
        <w:jc w:val="both"/>
        <w:rPr>
          <w:rFonts w:ascii="Times New Roman" w:hAnsi="Times New Roman"/>
          <w:b/>
          <w:bCs/>
          <w:color w:val="000000" w:themeColor="text1"/>
          <w:sz w:val="24"/>
          <w:szCs w:val="24"/>
        </w:rPr>
      </w:pPr>
    </w:p>
    <w:sectPr w:rsidR="006B79C4" w:rsidRPr="00D2635F"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FB8F" w14:textId="77777777" w:rsidR="00696C9D" w:rsidRDefault="00696C9D">
      <w:r>
        <w:separator/>
      </w:r>
    </w:p>
  </w:endnote>
  <w:endnote w:type="continuationSeparator" w:id="0">
    <w:p w14:paraId="4EBBC74E" w14:textId="77777777" w:rsidR="00696C9D" w:rsidRDefault="006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4618" w14:textId="77777777" w:rsidR="00696C9D" w:rsidRDefault="00696C9D">
      <w:r>
        <w:separator/>
      </w:r>
    </w:p>
  </w:footnote>
  <w:footnote w:type="continuationSeparator" w:id="0">
    <w:p w14:paraId="03F5D990" w14:textId="77777777" w:rsidR="00696C9D" w:rsidRDefault="0069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4E1"/>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1771"/>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A85"/>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3FA9"/>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D724B"/>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A7E"/>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6C9D"/>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B79C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2635F"/>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6</TotalTime>
  <Pages>6</Pages>
  <Words>8226</Words>
  <Characters>4690</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2023-05-03T07:37:00Z</dcterms:created>
  <dcterms:modified xsi:type="dcterms:W3CDTF">2023-05-03T07:42:00Z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